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802" w:type="dxa"/>
        <w:tblInd w:w="-28" w:type="dxa"/>
        <w:tblLook w:val="01E0" w:firstRow="1" w:lastRow="1" w:firstColumn="1" w:lastColumn="1" w:noHBand="0" w:noVBand="0"/>
      </w:tblPr>
      <w:tblGrid>
        <w:gridCol w:w="2880"/>
        <w:gridCol w:w="5839"/>
        <w:gridCol w:w="83"/>
      </w:tblGrid>
      <w:tr w:rsidR="006D68C9" w:rsidTr="00543B39">
        <w:trPr>
          <w:gridAfter w:val="1"/>
          <w:wAfter w:w="83" w:type="dxa"/>
        </w:trPr>
        <w:tc>
          <w:tcPr>
            <w:tcW w:w="8719" w:type="dxa"/>
            <w:gridSpan w:val="2"/>
          </w:tcPr>
          <w:p w:rsidR="006D68C9" w:rsidRDefault="006D68C9" w:rsidP="006D68C9">
            <w:pPr>
              <w:jc w:val="both"/>
              <w:rPr>
                <w:rFonts w:ascii="David" w:hAnsi="David"/>
                <w:b/>
                <w:bCs/>
                <w:noProof w:val="0"/>
                <w:rtl/>
              </w:rPr>
            </w:pPr>
            <w:bookmarkStart w:id="0" w:name="_GoBack"/>
            <w:bookmarkEnd w:id="0"/>
            <w:r>
              <w:rPr>
                <w:rFonts w:ascii="David" w:hAnsi="David"/>
                <w:noProof w:val="0"/>
                <w:rtl/>
              </w:rPr>
              <w:t xml:space="preserve"> </w:t>
            </w:r>
            <w:r>
              <w:rPr>
                <w:rFonts w:ascii="David" w:hAnsi="David"/>
                <w:b/>
                <w:bCs/>
                <w:noProof w:val="0"/>
                <w:rtl/>
              </w:rPr>
              <w:t>בפני: כב' השופט אביגדור דורות – יו"ר הועדה</w:t>
            </w:r>
          </w:p>
          <w:p w:rsidR="006D68C9" w:rsidRDefault="006D68C9" w:rsidP="006D68C9">
            <w:pPr>
              <w:jc w:val="both"/>
              <w:rPr>
                <w:rFonts w:ascii="David" w:hAnsi="David"/>
                <w:b/>
                <w:bCs/>
                <w:noProof w:val="0"/>
                <w:rtl/>
              </w:rPr>
            </w:pPr>
            <w:r>
              <w:rPr>
                <w:rFonts w:ascii="David" w:hAnsi="David"/>
                <w:b/>
                <w:bCs/>
                <w:noProof w:val="0"/>
                <w:rtl/>
              </w:rPr>
              <w:t xml:space="preserve">           אבי הוכמן – חבר ועדה</w:t>
            </w:r>
          </w:p>
          <w:p w:rsidR="006D68C9" w:rsidRDefault="006D68C9" w:rsidP="006D68C9">
            <w:pPr>
              <w:jc w:val="both"/>
              <w:rPr>
                <w:rFonts w:ascii="David" w:hAnsi="David"/>
                <w:b/>
                <w:bCs/>
                <w:noProof w:val="0"/>
                <w:rtl/>
              </w:rPr>
            </w:pPr>
            <w:r>
              <w:rPr>
                <w:rFonts w:ascii="David" w:hAnsi="David"/>
                <w:b/>
                <w:bCs/>
                <w:noProof w:val="0"/>
                <w:rtl/>
              </w:rPr>
              <w:t xml:space="preserve">           גבע בלטר – חברת ועדה    </w:t>
            </w:r>
          </w:p>
          <w:p w:rsidR="00C933CA" w:rsidRDefault="00C933CA" w:rsidP="006D68C9">
            <w:pPr>
              <w:jc w:val="both"/>
              <w:rPr>
                <w:rFonts w:ascii="David" w:hAnsi="David"/>
                <w:b/>
                <w:bCs/>
                <w:noProof w:val="0"/>
                <w:rtl/>
              </w:rPr>
            </w:pPr>
          </w:p>
        </w:tc>
      </w:tr>
      <w:tr w:rsidR="006D68C9" w:rsidTr="00543B39">
        <w:tc>
          <w:tcPr>
            <w:tcW w:w="2880" w:type="dxa"/>
            <w:hideMark/>
          </w:tcPr>
          <w:p w:rsidR="006D68C9" w:rsidRDefault="006D68C9" w:rsidP="00543B39">
            <w:pPr>
              <w:spacing w:before="120" w:after="120" w:line="240" w:lineRule="exact"/>
              <w:ind w:left="26"/>
              <w:rPr>
                <w:rFonts w:ascii="David" w:hAnsi="David"/>
                <w:b/>
                <w:bCs/>
                <w:noProof w:val="0"/>
                <w:rtl/>
              </w:rPr>
            </w:pPr>
            <w:bookmarkStart w:id="1" w:name="FirstAppellant"/>
            <w:bookmarkStart w:id="2" w:name="FirstLawyer"/>
            <w:r>
              <w:rPr>
                <w:rFonts w:ascii="David" w:hAnsi="David"/>
                <w:b/>
                <w:bCs/>
                <w:noProof w:val="0"/>
                <w:rtl/>
              </w:rPr>
              <w:t>העורר:</w:t>
            </w:r>
          </w:p>
        </w:tc>
        <w:tc>
          <w:tcPr>
            <w:tcW w:w="5922" w:type="dxa"/>
            <w:gridSpan w:val="2"/>
            <w:hideMark/>
          </w:tcPr>
          <w:p w:rsidR="006D68C9" w:rsidRDefault="00B947CC" w:rsidP="00B947CC">
            <w:pPr>
              <w:spacing w:before="120" w:after="120" w:line="240" w:lineRule="exact"/>
              <w:rPr>
                <w:rFonts w:ascii="David" w:hAnsi="David"/>
                <w:b/>
                <w:bCs/>
                <w:noProof w:val="0"/>
                <w:rtl/>
              </w:rPr>
            </w:pPr>
            <w:r>
              <w:rPr>
                <w:rFonts w:ascii="David" w:hAnsi="David"/>
                <w:b/>
                <w:bCs/>
                <w:noProof w:val="0"/>
                <w:rtl/>
              </w:rPr>
              <w:t xml:space="preserve">יגאל </w:t>
            </w:r>
            <w:r w:rsidR="006D68C9">
              <w:rPr>
                <w:rFonts w:ascii="David" w:hAnsi="David"/>
                <w:b/>
                <w:bCs/>
                <w:noProof w:val="0"/>
                <w:rtl/>
              </w:rPr>
              <w:t>אברג</w:t>
            </w:r>
            <w:r w:rsidR="00E21481">
              <w:rPr>
                <w:rFonts w:ascii="David" w:hAnsi="David" w:hint="cs"/>
                <w:b/>
                <w:bCs/>
                <w:noProof w:val="0"/>
                <w:rtl/>
              </w:rPr>
              <w:t>'</w:t>
            </w:r>
            <w:r w:rsidR="006D68C9">
              <w:rPr>
                <w:rFonts w:ascii="David" w:hAnsi="David"/>
                <w:b/>
                <w:bCs/>
                <w:noProof w:val="0"/>
                <w:rtl/>
              </w:rPr>
              <w:t xml:space="preserve">יל </w:t>
            </w:r>
          </w:p>
          <w:p w:rsidR="006D68C9" w:rsidRDefault="006D68C9" w:rsidP="00543B39">
            <w:pPr>
              <w:spacing w:before="120" w:after="120" w:line="240" w:lineRule="exact"/>
              <w:rPr>
                <w:rFonts w:ascii="David" w:hAnsi="David"/>
                <w:noProof w:val="0"/>
                <w:rtl/>
              </w:rPr>
            </w:pPr>
            <w:r>
              <w:rPr>
                <w:rFonts w:ascii="David" w:hAnsi="David"/>
                <w:noProof w:val="0"/>
                <w:rtl/>
              </w:rPr>
              <w:t xml:space="preserve">ע"י ב"כ עוה"ד חי אוחנה </w:t>
            </w:r>
          </w:p>
        </w:tc>
        <w:bookmarkEnd w:id="1"/>
        <w:bookmarkEnd w:id="2"/>
      </w:tr>
      <w:tr w:rsidR="006D68C9" w:rsidTr="00543B39">
        <w:tc>
          <w:tcPr>
            <w:tcW w:w="8802" w:type="dxa"/>
            <w:gridSpan w:val="3"/>
          </w:tcPr>
          <w:p w:rsidR="006D68C9" w:rsidRDefault="006D68C9" w:rsidP="00543B39">
            <w:pPr>
              <w:spacing w:line="256" w:lineRule="auto"/>
              <w:jc w:val="both"/>
              <w:rPr>
                <w:rFonts w:ascii="David" w:hAnsi="David"/>
                <w:b/>
                <w:bCs/>
                <w:noProof w:val="0"/>
                <w:rtl/>
              </w:rPr>
            </w:pPr>
          </w:p>
          <w:p w:rsidR="006D68C9" w:rsidRDefault="006D68C9" w:rsidP="00543B39">
            <w:pPr>
              <w:spacing w:line="256" w:lineRule="auto"/>
              <w:jc w:val="center"/>
              <w:rPr>
                <w:rFonts w:ascii="David" w:hAnsi="David"/>
                <w:b/>
                <w:bCs/>
                <w:noProof w:val="0"/>
                <w:rtl/>
              </w:rPr>
            </w:pPr>
            <w:r>
              <w:rPr>
                <w:rFonts w:ascii="David" w:hAnsi="David"/>
                <w:b/>
                <w:bCs/>
                <w:noProof w:val="0"/>
                <w:rtl/>
              </w:rPr>
              <w:t>נגד</w:t>
            </w:r>
          </w:p>
          <w:p w:rsidR="006D68C9" w:rsidRDefault="006D68C9" w:rsidP="00543B39">
            <w:pPr>
              <w:spacing w:line="256" w:lineRule="auto"/>
              <w:jc w:val="center"/>
              <w:rPr>
                <w:rFonts w:ascii="David" w:hAnsi="David"/>
                <w:b/>
                <w:bCs/>
                <w:rtl/>
              </w:rPr>
            </w:pPr>
          </w:p>
        </w:tc>
      </w:tr>
      <w:tr w:rsidR="006D68C9" w:rsidTr="00543B39">
        <w:tc>
          <w:tcPr>
            <w:tcW w:w="2880" w:type="dxa"/>
            <w:hideMark/>
          </w:tcPr>
          <w:p w:rsidR="006D68C9" w:rsidRDefault="006D68C9" w:rsidP="00543B39">
            <w:pPr>
              <w:spacing w:before="120" w:after="120" w:line="240" w:lineRule="exact"/>
              <w:ind w:left="26"/>
              <w:rPr>
                <w:rFonts w:ascii="David" w:hAnsi="David"/>
                <w:b/>
                <w:bCs/>
                <w:noProof w:val="0"/>
              </w:rPr>
            </w:pPr>
            <w:r>
              <w:rPr>
                <w:rFonts w:ascii="David" w:hAnsi="David"/>
                <w:b/>
                <w:bCs/>
                <w:noProof w:val="0"/>
                <w:rtl/>
              </w:rPr>
              <w:t>המשיב:</w:t>
            </w:r>
          </w:p>
        </w:tc>
        <w:tc>
          <w:tcPr>
            <w:tcW w:w="5922" w:type="dxa"/>
            <w:gridSpan w:val="2"/>
            <w:hideMark/>
          </w:tcPr>
          <w:p w:rsidR="006D68C9" w:rsidRDefault="006D68C9" w:rsidP="00543B39">
            <w:pPr>
              <w:spacing w:before="120" w:after="120" w:line="240" w:lineRule="exact"/>
              <w:rPr>
                <w:rFonts w:ascii="David" w:hAnsi="David"/>
                <w:b/>
                <w:bCs/>
                <w:noProof w:val="0"/>
                <w:rtl/>
              </w:rPr>
            </w:pPr>
            <w:r>
              <w:rPr>
                <w:rFonts w:ascii="David" w:hAnsi="David"/>
                <w:b/>
                <w:bCs/>
                <w:noProof w:val="0"/>
                <w:rtl/>
              </w:rPr>
              <w:t xml:space="preserve">מנהל מיסוי מקרקעין- ירושלים </w:t>
            </w:r>
          </w:p>
          <w:p w:rsidR="005B62EA" w:rsidRDefault="008B74C0" w:rsidP="008B74C0">
            <w:pPr>
              <w:spacing w:before="120" w:after="120" w:line="240" w:lineRule="exact"/>
              <w:rPr>
                <w:rFonts w:ascii="David" w:hAnsi="David"/>
                <w:noProof w:val="0"/>
                <w:rtl/>
              </w:rPr>
            </w:pPr>
            <w:r>
              <w:rPr>
                <w:rFonts w:ascii="David" w:hAnsi="David"/>
                <w:noProof w:val="0"/>
                <w:rtl/>
              </w:rPr>
              <w:t xml:space="preserve">ע"י </w:t>
            </w:r>
            <w:r w:rsidR="00B96768">
              <w:rPr>
                <w:rFonts w:ascii="David" w:hAnsi="David" w:hint="cs"/>
                <w:noProof w:val="0"/>
                <w:rtl/>
              </w:rPr>
              <w:t xml:space="preserve">ב"כ </w:t>
            </w:r>
            <w:r>
              <w:rPr>
                <w:rFonts w:ascii="David" w:hAnsi="David"/>
                <w:noProof w:val="0"/>
                <w:rtl/>
              </w:rPr>
              <w:t xml:space="preserve">עו"ד אמיר שקר </w:t>
            </w:r>
          </w:p>
          <w:p w:rsidR="006D68C9" w:rsidRDefault="008B74C0" w:rsidP="008B74C0">
            <w:pPr>
              <w:spacing w:before="120" w:after="120" w:line="240" w:lineRule="exact"/>
              <w:rPr>
                <w:rFonts w:ascii="David" w:hAnsi="David"/>
                <w:noProof w:val="0"/>
                <w:rtl/>
              </w:rPr>
            </w:pPr>
            <w:r>
              <w:rPr>
                <w:rFonts w:ascii="David" w:hAnsi="David" w:hint="cs"/>
                <w:noProof w:val="0"/>
                <w:rtl/>
              </w:rPr>
              <w:t>מ</w:t>
            </w:r>
            <w:r w:rsidR="006D68C9">
              <w:rPr>
                <w:rFonts w:ascii="David" w:hAnsi="David"/>
                <w:noProof w:val="0"/>
                <w:rtl/>
              </w:rPr>
              <w:t xml:space="preserve">פרקליטות מחוז ירושלים (אזרחי) </w:t>
            </w:r>
          </w:p>
        </w:tc>
      </w:tr>
    </w:tbl>
    <w:p w:rsidR="00694556" w:rsidRDefault="00694556">
      <w:bookmarkStart w:id="3" w:name="LawTable"/>
      <w:bookmarkEnd w:id="3"/>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D68C9" w:rsidRDefault="006D68C9" w:rsidP="006D68C9">
      <w:pPr>
        <w:spacing w:line="360" w:lineRule="auto"/>
        <w:jc w:val="both"/>
        <w:rPr>
          <w:rFonts w:ascii="David" w:hAnsi="David"/>
          <w:b/>
          <w:bCs/>
          <w:noProof w:val="0"/>
          <w:u w:val="single"/>
          <w:rtl/>
        </w:rPr>
      </w:pPr>
    </w:p>
    <w:p w:rsidR="006D68C9" w:rsidRDefault="006D68C9" w:rsidP="006D68C9">
      <w:pPr>
        <w:spacing w:line="360" w:lineRule="auto"/>
        <w:jc w:val="both"/>
        <w:rPr>
          <w:rFonts w:ascii="David" w:hAnsi="David"/>
          <w:noProof w:val="0"/>
          <w:rtl/>
        </w:rPr>
      </w:pPr>
      <w:r>
        <w:rPr>
          <w:rFonts w:ascii="David" w:hAnsi="David"/>
          <w:b/>
          <w:bCs/>
          <w:noProof w:val="0"/>
          <w:u w:val="single"/>
          <w:rtl/>
        </w:rPr>
        <w:t>יו"ר הוועדה, השופט אביגדור דורות:</w:t>
      </w:r>
    </w:p>
    <w:p w:rsidR="006D68C9" w:rsidRDefault="006D68C9" w:rsidP="006D68C9">
      <w:pPr>
        <w:spacing w:line="360" w:lineRule="auto"/>
        <w:jc w:val="both"/>
        <w:rPr>
          <w:rFonts w:ascii="David" w:hAnsi="David"/>
          <w:noProof w:val="0"/>
          <w:rtl/>
        </w:rPr>
      </w:pPr>
    </w:p>
    <w:p w:rsidR="006D68C9" w:rsidRDefault="006D68C9" w:rsidP="00693F73">
      <w:pPr>
        <w:pStyle w:val="ae"/>
        <w:numPr>
          <w:ilvl w:val="0"/>
          <w:numId w:val="1"/>
        </w:numPr>
        <w:spacing w:line="360" w:lineRule="auto"/>
        <w:jc w:val="both"/>
        <w:rPr>
          <w:rFonts w:ascii="Arial" w:hAnsi="Arial"/>
          <w:noProof w:val="0"/>
          <w:u w:val="single"/>
          <w:rtl/>
        </w:rPr>
      </w:pPr>
      <w:r>
        <w:rPr>
          <w:rFonts w:ascii="David" w:hAnsi="David"/>
          <w:noProof w:val="0"/>
          <w:rtl/>
        </w:rPr>
        <w:t>לפנינו שני עררים שהדיון בהם אוחד- על החלטת מנהל מיסוי מקרקעין- ירושלים (להלן: "</w:t>
      </w:r>
      <w:r>
        <w:rPr>
          <w:rFonts w:ascii="David" w:hAnsi="David"/>
          <w:b/>
          <w:bCs/>
          <w:noProof w:val="0"/>
          <w:rtl/>
        </w:rPr>
        <w:t>המשיב</w:t>
      </w:r>
      <w:r>
        <w:rPr>
          <w:rFonts w:ascii="David" w:hAnsi="David"/>
          <w:noProof w:val="0"/>
          <w:rtl/>
        </w:rPr>
        <w:t>") מיום 30.6.20, בגדרה נ</w:t>
      </w:r>
      <w:r w:rsidR="00B96768">
        <w:rPr>
          <w:rFonts w:ascii="David" w:hAnsi="David"/>
          <w:noProof w:val="0"/>
          <w:rtl/>
        </w:rPr>
        <w:t>דחתה השגת העורר על שומת מס שבח</w:t>
      </w:r>
      <w:r w:rsidR="00B96768">
        <w:rPr>
          <w:rFonts w:ascii="David" w:hAnsi="David" w:hint="cs"/>
          <w:noProof w:val="0"/>
          <w:rtl/>
        </w:rPr>
        <w:t xml:space="preserve"> </w:t>
      </w:r>
      <w:r>
        <w:rPr>
          <w:rFonts w:ascii="David" w:hAnsi="David"/>
          <w:noProof w:val="0"/>
          <w:rtl/>
        </w:rPr>
        <w:t>שהוצאה לו (להלן: "</w:t>
      </w:r>
      <w:r>
        <w:rPr>
          <w:rFonts w:ascii="David" w:hAnsi="David"/>
          <w:b/>
          <w:bCs/>
          <w:noProof w:val="0"/>
          <w:rtl/>
        </w:rPr>
        <w:t>השומה</w:t>
      </w:r>
      <w:r>
        <w:rPr>
          <w:rFonts w:ascii="David" w:hAnsi="David"/>
          <w:noProof w:val="0"/>
          <w:rtl/>
        </w:rPr>
        <w:t xml:space="preserve">"); וכן על החלטת המשיב להאריך את המועד למתן </w:t>
      </w:r>
      <w:r w:rsidR="008B74C0">
        <w:rPr>
          <w:rFonts w:ascii="David" w:hAnsi="David" w:hint="cs"/>
          <w:noProof w:val="0"/>
          <w:rtl/>
        </w:rPr>
        <w:t xml:space="preserve">החלטה </w:t>
      </w:r>
      <w:r>
        <w:rPr>
          <w:rFonts w:ascii="David" w:hAnsi="David"/>
          <w:noProof w:val="0"/>
          <w:rtl/>
        </w:rPr>
        <w:t>בהשגה בארבעה חודשים נוספים.</w:t>
      </w:r>
    </w:p>
    <w:p w:rsidR="006D68C9" w:rsidRDefault="006D68C9" w:rsidP="006D68C9">
      <w:pPr>
        <w:pStyle w:val="ae"/>
        <w:spacing w:line="360" w:lineRule="auto"/>
        <w:jc w:val="both"/>
        <w:rPr>
          <w:rFonts w:ascii="Arial" w:hAnsi="Arial"/>
          <w:noProof w:val="0"/>
          <w:u w:val="single"/>
        </w:rPr>
      </w:pPr>
    </w:p>
    <w:p w:rsidR="006D68C9" w:rsidRDefault="006D68C9" w:rsidP="006D68C9">
      <w:pPr>
        <w:rPr>
          <w:rFonts w:ascii="Arial" w:hAnsi="Arial"/>
          <w:b/>
          <w:bCs/>
          <w:noProof w:val="0"/>
          <w:u w:val="single"/>
          <w:rtl/>
        </w:rPr>
      </w:pPr>
      <w:r>
        <w:rPr>
          <w:rFonts w:ascii="Arial" w:hAnsi="Arial"/>
          <w:b/>
          <w:bCs/>
          <w:noProof w:val="0"/>
          <w:u w:val="single"/>
          <w:rtl/>
        </w:rPr>
        <w:t>הרקע העובדתי</w:t>
      </w:r>
    </w:p>
    <w:p w:rsidR="006D68C9" w:rsidRDefault="006D68C9" w:rsidP="006D68C9">
      <w:pPr>
        <w:spacing w:line="360" w:lineRule="auto"/>
        <w:jc w:val="both"/>
        <w:rPr>
          <w:rFonts w:ascii="Arial" w:hAnsi="Arial"/>
          <w:noProof w:val="0"/>
          <w:u w:val="single"/>
          <w:rtl/>
        </w:rPr>
      </w:pPr>
    </w:p>
    <w:p w:rsidR="006D68C9" w:rsidRDefault="006D68C9" w:rsidP="008B74C0">
      <w:pPr>
        <w:pStyle w:val="ae"/>
        <w:numPr>
          <w:ilvl w:val="0"/>
          <w:numId w:val="1"/>
        </w:numPr>
        <w:spacing w:line="360" w:lineRule="auto"/>
        <w:jc w:val="both"/>
        <w:rPr>
          <w:rFonts w:ascii="Arial" w:hAnsi="Arial"/>
          <w:noProof w:val="0"/>
          <w:rtl/>
        </w:rPr>
      </w:pPr>
      <w:r>
        <w:rPr>
          <w:rFonts w:ascii="Arial" w:hAnsi="Arial"/>
          <w:noProof w:val="0"/>
          <w:rtl/>
        </w:rPr>
        <w:t>ביום 24.3.1994 העורר רכש, יחד עם שני שותפים נוספים (להלן: "השותפים"), בחלקים שווים, זכות במקרקעין הידועים כגוש 30014 חלקה 47</w:t>
      </w:r>
      <w:r w:rsidR="008B74C0">
        <w:rPr>
          <w:rFonts w:ascii="Arial" w:hAnsi="Arial" w:hint="cs"/>
          <w:noProof w:val="0"/>
          <w:rtl/>
        </w:rPr>
        <w:t>,</w:t>
      </w:r>
      <w:r>
        <w:rPr>
          <w:rFonts w:ascii="Arial" w:hAnsi="Arial"/>
          <w:noProof w:val="0"/>
          <w:rtl/>
        </w:rPr>
        <w:t xml:space="preserve"> ברחוב דן 1 פינת יששכר 7 בירושלים (להלן: "</w:t>
      </w:r>
      <w:r>
        <w:rPr>
          <w:rFonts w:ascii="Arial" w:hAnsi="Arial"/>
          <w:b/>
          <w:bCs/>
          <w:noProof w:val="0"/>
          <w:rtl/>
        </w:rPr>
        <w:t>הנכס</w:t>
      </w:r>
      <w:r>
        <w:rPr>
          <w:rFonts w:ascii="Arial" w:hAnsi="Arial"/>
          <w:noProof w:val="0"/>
          <w:rtl/>
        </w:rPr>
        <w:t>" או "</w:t>
      </w:r>
      <w:r>
        <w:rPr>
          <w:rFonts w:ascii="Arial" w:hAnsi="Arial"/>
          <w:b/>
          <w:bCs/>
          <w:noProof w:val="0"/>
          <w:rtl/>
        </w:rPr>
        <w:t>המקרקעין</w:t>
      </w:r>
      <w:r>
        <w:rPr>
          <w:rFonts w:ascii="Arial" w:hAnsi="Arial"/>
          <w:noProof w:val="0"/>
          <w:rtl/>
        </w:rPr>
        <w:t>"), בתמורה לסך של 1,811,700 ₪ (610,000 $).</w:t>
      </w:r>
    </w:p>
    <w:p w:rsidR="006D68C9" w:rsidRDefault="006D68C9" w:rsidP="006D68C9">
      <w:pPr>
        <w:pStyle w:val="ae"/>
        <w:spacing w:line="360" w:lineRule="auto"/>
        <w:jc w:val="both"/>
        <w:rPr>
          <w:rFonts w:ascii="Arial" w:hAnsi="Arial"/>
          <w:noProof w:val="0"/>
        </w:rPr>
      </w:pPr>
    </w:p>
    <w:p w:rsidR="006D68C9" w:rsidRDefault="006D68C9" w:rsidP="008B74C0">
      <w:pPr>
        <w:pStyle w:val="ae"/>
        <w:numPr>
          <w:ilvl w:val="0"/>
          <w:numId w:val="1"/>
        </w:numPr>
        <w:spacing w:line="360" w:lineRule="auto"/>
        <w:jc w:val="both"/>
        <w:rPr>
          <w:rFonts w:ascii="Arial" w:hAnsi="Arial"/>
          <w:noProof w:val="0"/>
        </w:rPr>
      </w:pPr>
      <w:r>
        <w:rPr>
          <w:rFonts w:ascii="Arial" w:hAnsi="Arial"/>
          <w:noProof w:val="0"/>
          <w:rtl/>
        </w:rPr>
        <w:t>בין העורר ושותפיו לבין מוכר המקרקעין, ששון דרגן (להלן: "</w:t>
      </w:r>
      <w:r>
        <w:rPr>
          <w:rFonts w:ascii="Arial" w:hAnsi="Arial"/>
          <w:b/>
          <w:bCs/>
          <w:noProof w:val="0"/>
          <w:rtl/>
        </w:rPr>
        <w:t>המוכר</w:t>
      </w:r>
      <w:r>
        <w:rPr>
          <w:rFonts w:ascii="Arial" w:hAnsi="Arial"/>
          <w:noProof w:val="0"/>
          <w:rtl/>
        </w:rPr>
        <w:t xml:space="preserve">") נתגלעה מחלוקת רבת שנים שבמסגרתה נוהלו הליכים משפטיים </w:t>
      </w:r>
      <w:r w:rsidR="008B74C0">
        <w:rPr>
          <w:rFonts w:ascii="Arial" w:hAnsi="Arial" w:hint="cs"/>
          <w:noProof w:val="0"/>
          <w:rtl/>
        </w:rPr>
        <w:t>(</w:t>
      </w:r>
      <w:r>
        <w:rPr>
          <w:rFonts w:ascii="Arial" w:hAnsi="Arial"/>
          <w:noProof w:val="0"/>
          <w:rtl/>
        </w:rPr>
        <w:t>ת"א 3119/01</w:t>
      </w:r>
      <w:r w:rsidR="008B74C0">
        <w:rPr>
          <w:rFonts w:ascii="Arial" w:hAnsi="Arial" w:hint="cs"/>
          <w:noProof w:val="0"/>
          <w:rtl/>
        </w:rPr>
        <w:t>)</w:t>
      </w:r>
      <w:r>
        <w:rPr>
          <w:rFonts w:ascii="Arial" w:hAnsi="Arial"/>
          <w:noProof w:val="0"/>
          <w:rtl/>
        </w:rPr>
        <w:t>, שבמסגרת</w:t>
      </w:r>
      <w:r w:rsidR="008B74C0">
        <w:rPr>
          <w:rFonts w:ascii="Arial" w:hAnsi="Arial" w:hint="cs"/>
          <w:noProof w:val="0"/>
          <w:rtl/>
        </w:rPr>
        <w:t>ם</w:t>
      </w:r>
      <w:r>
        <w:rPr>
          <w:rFonts w:ascii="Arial" w:hAnsi="Arial"/>
          <w:noProof w:val="0"/>
          <w:rtl/>
        </w:rPr>
        <w:t xml:space="preserve"> ניתן פסק דין ביום 17.5.2009 שקבע כי יש לאכוף את הסכם המכר ועל העורר ושותפיו</w:t>
      </w:r>
      <w:r w:rsidR="00B96768">
        <w:rPr>
          <w:rFonts w:ascii="Arial" w:hAnsi="Arial"/>
          <w:noProof w:val="0"/>
          <w:rtl/>
        </w:rPr>
        <w:t xml:space="preserve"> לשלם את יתרת התמורה שטרם שולמה</w:t>
      </w:r>
      <w:r>
        <w:rPr>
          <w:rFonts w:ascii="Arial" w:hAnsi="Arial"/>
          <w:noProof w:val="0"/>
          <w:rtl/>
        </w:rPr>
        <w:t>;</w:t>
      </w:r>
      <w:r w:rsidR="008B74C0">
        <w:rPr>
          <w:rFonts w:ascii="Arial" w:hAnsi="Arial" w:hint="cs"/>
          <w:noProof w:val="0"/>
          <w:rtl/>
        </w:rPr>
        <w:t xml:space="preserve"> בהליך נוסף</w:t>
      </w:r>
      <w:r>
        <w:rPr>
          <w:rFonts w:ascii="Arial" w:hAnsi="Arial"/>
          <w:noProof w:val="0"/>
          <w:rtl/>
        </w:rPr>
        <w:t xml:space="preserve"> </w:t>
      </w:r>
      <w:r w:rsidR="008B74C0">
        <w:rPr>
          <w:rFonts w:ascii="Arial" w:hAnsi="Arial" w:hint="cs"/>
          <w:noProof w:val="0"/>
          <w:rtl/>
        </w:rPr>
        <w:t>(</w:t>
      </w:r>
      <w:r>
        <w:rPr>
          <w:rFonts w:ascii="Arial" w:hAnsi="Arial"/>
          <w:noProof w:val="0"/>
          <w:rtl/>
        </w:rPr>
        <w:t>ת"א 17644-03-16</w:t>
      </w:r>
      <w:r w:rsidR="008B74C0">
        <w:rPr>
          <w:rFonts w:ascii="Arial" w:hAnsi="Arial" w:hint="cs"/>
          <w:noProof w:val="0"/>
          <w:rtl/>
        </w:rPr>
        <w:t>)</w:t>
      </w:r>
      <w:r>
        <w:rPr>
          <w:rFonts w:ascii="Arial" w:hAnsi="Arial"/>
          <w:noProof w:val="0"/>
          <w:rtl/>
        </w:rPr>
        <w:t xml:space="preserve"> נחתם הסכם פשרה בין הצדדים, לפיו על העורר ושותפיו לשלם את יתרת התמורה עבור רכישת מקרקעין בהתאם לפסק הדין הקודם, וכן סכום נוסף של 50,000 ₪. </w:t>
      </w:r>
    </w:p>
    <w:p w:rsidR="006D68C9" w:rsidRDefault="006D68C9" w:rsidP="006D68C9">
      <w:pPr>
        <w:pStyle w:val="ae"/>
        <w:spacing w:line="360" w:lineRule="auto"/>
        <w:jc w:val="both"/>
        <w:rPr>
          <w:rFonts w:ascii="Arial" w:hAnsi="Arial"/>
          <w:noProof w:val="0"/>
        </w:rPr>
      </w:pPr>
    </w:p>
    <w:p w:rsidR="006D68C9" w:rsidRDefault="006D68C9" w:rsidP="008B74C0">
      <w:pPr>
        <w:pStyle w:val="ae"/>
        <w:numPr>
          <w:ilvl w:val="0"/>
          <w:numId w:val="1"/>
        </w:numPr>
        <w:spacing w:line="360" w:lineRule="auto"/>
        <w:jc w:val="both"/>
        <w:rPr>
          <w:rFonts w:ascii="Arial" w:hAnsi="Arial"/>
          <w:noProof w:val="0"/>
        </w:rPr>
      </w:pPr>
      <w:r>
        <w:rPr>
          <w:rFonts w:ascii="Arial" w:hAnsi="Arial"/>
          <w:noProof w:val="0"/>
          <w:rtl/>
        </w:rPr>
        <w:t xml:space="preserve">ביום 12.8.2018 מכרו העורר ושותפיו את זכויותיהם במקרקעין בתמורה לסך של 14,200,000 ₪ </w:t>
      </w:r>
      <w:r w:rsidR="00B96768">
        <w:rPr>
          <w:rFonts w:ascii="Arial" w:hAnsi="Arial" w:hint="cs"/>
          <w:noProof w:val="0"/>
          <w:rtl/>
        </w:rPr>
        <w:t>כאשר מתוך התמורה הכוללת,</w:t>
      </w:r>
      <w:r>
        <w:rPr>
          <w:rFonts w:ascii="Arial" w:hAnsi="Arial"/>
          <w:noProof w:val="0"/>
          <w:rtl/>
        </w:rPr>
        <w:t xml:space="preserve"> סך של 5,500,000 ₪ מיוחס לעורר.</w:t>
      </w:r>
    </w:p>
    <w:p w:rsidR="006D68C9" w:rsidRPr="008B74C0" w:rsidRDefault="006D68C9" w:rsidP="006D68C9">
      <w:pPr>
        <w:pStyle w:val="ae"/>
        <w:spacing w:line="360" w:lineRule="auto"/>
        <w:jc w:val="both"/>
        <w:rPr>
          <w:rFonts w:ascii="Arial" w:hAnsi="Arial"/>
          <w:noProof w:val="0"/>
        </w:rPr>
      </w:pPr>
    </w:p>
    <w:p w:rsidR="006D68C9" w:rsidRDefault="006D68C9" w:rsidP="008B74C0">
      <w:pPr>
        <w:pStyle w:val="ae"/>
        <w:numPr>
          <w:ilvl w:val="0"/>
          <w:numId w:val="1"/>
        </w:numPr>
        <w:spacing w:line="360" w:lineRule="auto"/>
        <w:jc w:val="both"/>
        <w:rPr>
          <w:rFonts w:ascii="Arial" w:hAnsi="Arial"/>
          <w:noProof w:val="0"/>
        </w:rPr>
      </w:pPr>
      <w:r>
        <w:rPr>
          <w:rFonts w:ascii="Arial" w:hAnsi="Arial"/>
          <w:noProof w:val="0"/>
          <w:rtl/>
        </w:rPr>
        <w:t>ביום 17.10.2018 העורר הגיש הצהרה למשרדי מיסוי מקרקעין לפיה שווי המכירה של חלקו במקרקעין עומד על סך של 5,500,000 ₪. העורר הגיש שתי שומות עצמיות- האחת, לפי חישוב לינ</w:t>
      </w:r>
      <w:r w:rsidR="008B74C0">
        <w:rPr>
          <w:rFonts w:ascii="Arial" w:hAnsi="Arial" w:hint="cs"/>
          <w:noProof w:val="0"/>
          <w:rtl/>
        </w:rPr>
        <w:t>י</w:t>
      </w:r>
      <w:r>
        <w:rPr>
          <w:rFonts w:ascii="Arial" w:hAnsi="Arial"/>
          <w:noProof w:val="0"/>
          <w:rtl/>
        </w:rPr>
        <w:t xml:space="preserve">ארי מוטב עד לשווי של 2,362,544 ₪; והשנייה, לפי חישוב מלא, על </w:t>
      </w:r>
      <w:r w:rsidR="008B74C0">
        <w:rPr>
          <w:rFonts w:ascii="Arial" w:hAnsi="Arial" w:hint="cs"/>
          <w:noProof w:val="0"/>
          <w:rtl/>
        </w:rPr>
        <w:t>יתרת ה</w:t>
      </w:r>
      <w:r>
        <w:rPr>
          <w:rFonts w:ascii="Arial" w:hAnsi="Arial"/>
          <w:noProof w:val="0"/>
          <w:rtl/>
        </w:rPr>
        <w:t xml:space="preserve">שווי </w:t>
      </w:r>
      <w:r w:rsidR="008B74C0">
        <w:rPr>
          <w:rFonts w:ascii="Arial" w:hAnsi="Arial" w:hint="cs"/>
          <w:noProof w:val="0"/>
          <w:rtl/>
        </w:rPr>
        <w:t xml:space="preserve">- </w:t>
      </w:r>
      <w:r>
        <w:rPr>
          <w:rFonts w:ascii="Arial" w:hAnsi="Arial"/>
          <w:noProof w:val="0"/>
          <w:rtl/>
        </w:rPr>
        <w:t>3,137,456 ₪.</w:t>
      </w:r>
    </w:p>
    <w:p w:rsidR="006D68C9" w:rsidRPr="008B74C0"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ביום 13.3.2019 הוציא המשיב שומה לפי מיטב השפיטה. בשומה קבע המשיב, לאחר שביקר פעמיים בנכס, כי הנכס אינו עונה להגדרת "דירת מגורים" ולכן העורר לא זכאי לחישוב לינ</w:t>
      </w:r>
      <w:r w:rsidR="008B74C0">
        <w:rPr>
          <w:rFonts w:ascii="Arial" w:hAnsi="Arial" w:hint="cs"/>
          <w:noProof w:val="0"/>
          <w:rtl/>
        </w:rPr>
        <w:t>י</w:t>
      </w:r>
      <w:r>
        <w:rPr>
          <w:rFonts w:ascii="Arial" w:hAnsi="Arial"/>
          <w:noProof w:val="0"/>
          <w:rtl/>
        </w:rPr>
        <w:t>ארי מוטב לפי סעיף 48א(ב2) לחוק מיסוי מקרקעין (שבח ורכישה), התשכ"ה- 1965 (להלן: "</w:t>
      </w:r>
      <w:r>
        <w:rPr>
          <w:rFonts w:ascii="Arial" w:hAnsi="Arial"/>
          <w:b/>
          <w:bCs/>
          <w:noProof w:val="0"/>
          <w:rtl/>
        </w:rPr>
        <w:t>החוק</w:t>
      </w:r>
      <w:r>
        <w:rPr>
          <w:rFonts w:ascii="Arial" w:hAnsi="Arial"/>
          <w:noProof w:val="0"/>
          <w:rtl/>
        </w:rPr>
        <w:t>"). במסגרת השומה הוכרו לעורר הוצאות שנדרשו</w:t>
      </w:r>
      <w:r w:rsidR="008B74C0">
        <w:rPr>
          <w:rFonts w:ascii="Arial" w:hAnsi="Arial" w:hint="cs"/>
          <w:noProof w:val="0"/>
          <w:rtl/>
        </w:rPr>
        <w:t>,</w:t>
      </w:r>
      <w:r>
        <w:rPr>
          <w:rFonts w:ascii="Arial" w:hAnsi="Arial"/>
          <w:noProof w:val="0"/>
          <w:rtl/>
        </w:rPr>
        <w:t xml:space="preserve"> למעט ההוצאות אשר פורטו בסופה.</w:t>
      </w:r>
    </w:p>
    <w:p w:rsidR="006D68C9" w:rsidRDefault="006D68C9" w:rsidP="006D68C9">
      <w:pPr>
        <w:pStyle w:val="ae"/>
        <w:spacing w:line="360" w:lineRule="auto"/>
        <w:jc w:val="both"/>
        <w:rPr>
          <w:rFonts w:ascii="Arial" w:hAnsi="Arial"/>
          <w:noProof w:val="0"/>
        </w:rPr>
      </w:pPr>
    </w:p>
    <w:p w:rsidR="006D68C9" w:rsidRDefault="006D68C9" w:rsidP="008B74C0">
      <w:pPr>
        <w:pStyle w:val="ae"/>
        <w:numPr>
          <w:ilvl w:val="0"/>
          <w:numId w:val="1"/>
        </w:numPr>
        <w:spacing w:line="360" w:lineRule="auto"/>
        <w:jc w:val="both"/>
        <w:rPr>
          <w:rFonts w:ascii="Arial" w:hAnsi="Arial"/>
          <w:noProof w:val="0"/>
        </w:rPr>
      </w:pPr>
      <w:r>
        <w:rPr>
          <w:rFonts w:ascii="Arial" w:hAnsi="Arial"/>
          <w:noProof w:val="0"/>
          <w:rtl/>
        </w:rPr>
        <w:t>ביום 17.4.2019 נשלחה למשיב בקש</w:t>
      </w:r>
      <w:r w:rsidR="008B74C0">
        <w:rPr>
          <w:rFonts w:ascii="Arial" w:hAnsi="Arial" w:hint="cs"/>
          <w:noProof w:val="0"/>
          <w:rtl/>
        </w:rPr>
        <w:t>ת העורר</w:t>
      </w:r>
      <w:r>
        <w:rPr>
          <w:rFonts w:ascii="Arial" w:hAnsi="Arial"/>
          <w:noProof w:val="0"/>
          <w:rtl/>
        </w:rPr>
        <w:t xml:space="preserve"> למתן ארכה בת 45 ימים להגשת השגה. ביום 20.5.2019 ניתנה ארכה ל</w:t>
      </w:r>
      <w:r w:rsidR="008B74C0">
        <w:rPr>
          <w:rFonts w:ascii="Arial" w:hAnsi="Arial" w:hint="cs"/>
          <w:noProof w:val="0"/>
          <w:rtl/>
        </w:rPr>
        <w:t xml:space="preserve">הגשת </w:t>
      </w:r>
      <w:r>
        <w:rPr>
          <w:rFonts w:ascii="Arial" w:hAnsi="Arial"/>
          <w:noProof w:val="0"/>
          <w:rtl/>
        </w:rPr>
        <w:t>השגה עד ליום 20.6.2019.</w:t>
      </w:r>
    </w:p>
    <w:p w:rsidR="006D68C9"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ביום 19.6.2019 העורר פנה למשיב בפנייה הנושאת כותרת "השגה". ביום 30.6.2019 שלח המשיב לעורר מכתב בו הוסבר כי פנייתו אינה עונה להגדרת השגה לפי סעיף 87 לחוק, משחסרה בטופס השגה, ציון סכום המס ודרך חישובו ולא צוין מהו הסכום שאינו שנוי במחלוקת.</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ביום 1.7.19 הוגשה למשיב השגה כנדרש</w:t>
      </w:r>
      <w:r w:rsidR="00EC0188">
        <w:rPr>
          <w:rFonts w:ascii="Arial" w:hAnsi="Arial" w:hint="cs"/>
          <w:noProof w:val="0"/>
          <w:rtl/>
        </w:rPr>
        <w:t>,</w:t>
      </w:r>
      <w:r>
        <w:rPr>
          <w:rFonts w:ascii="Arial" w:hAnsi="Arial"/>
          <w:noProof w:val="0"/>
          <w:rtl/>
        </w:rPr>
        <w:t xml:space="preserve"> במסגרתה העורר ביקש לקבוע כי הוא זכאי לחישוב לינ</w:t>
      </w:r>
      <w:r w:rsidR="00EC0188">
        <w:rPr>
          <w:rFonts w:ascii="Arial" w:hAnsi="Arial" w:hint="cs"/>
          <w:noProof w:val="0"/>
          <w:rtl/>
        </w:rPr>
        <w:t>י</w:t>
      </w:r>
      <w:r>
        <w:rPr>
          <w:rFonts w:ascii="Arial" w:hAnsi="Arial"/>
          <w:noProof w:val="0"/>
          <w:rtl/>
        </w:rPr>
        <w:t>ארי מוטב בגין מכירת המקרקעין, לקבוע כי הוא זכאי להתרת ניכוי הוצאות השבחה בגין עבודה עצמית שביצע במהלך השנים, ולנצל את זכאותו לפריסת השבח לפי סעיף 48א(ה) לחוק.</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 xml:space="preserve">ביום 20.2.2020 פנה המשיב לסמנכ"ל מיסוי מקרקעין, לבקשת ארכה למתן </w:t>
      </w:r>
      <w:r w:rsidR="00EC0188">
        <w:rPr>
          <w:rFonts w:ascii="Arial" w:hAnsi="Arial" w:hint="cs"/>
          <w:noProof w:val="0"/>
          <w:rtl/>
        </w:rPr>
        <w:t xml:space="preserve">החלטה </w:t>
      </w:r>
      <w:r>
        <w:rPr>
          <w:rFonts w:ascii="Arial" w:hAnsi="Arial"/>
          <w:noProof w:val="0"/>
          <w:rtl/>
        </w:rPr>
        <w:t xml:space="preserve">בהשגה עד 1.7.2020, דהיינו שנה ממועד הגשת ההשגה. ביום 21.2.2020 אושרה בקשת המשיב על ידי </w:t>
      </w:r>
      <w:r>
        <w:rPr>
          <w:rFonts w:ascii="Arial" w:hAnsi="Arial"/>
          <w:noProof w:val="0"/>
          <w:rtl/>
        </w:rPr>
        <w:lastRenderedPageBreak/>
        <w:t>הסמנכ"ל ובהתאם נשלח לעורר מכתב הודעה כי ניתנה ארכה למתן תשובה בהשגה עד ליום 1.7.2020.</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 xml:space="preserve">בגין ההחלטה להאריך למשיב את המועד למתן </w:t>
      </w:r>
      <w:r w:rsidR="00EC0188">
        <w:rPr>
          <w:rFonts w:ascii="Arial" w:hAnsi="Arial" w:hint="cs"/>
          <w:noProof w:val="0"/>
          <w:rtl/>
        </w:rPr>
        <w:t xml:space="preserve">החלטה </w:t>
      </w:r>
      <w:r>
        <w:rPr>
          <w:rFonts w:ascii="Arial" w:hAnsi="Arial"/>
          <w:noProof w:val="0"/>
          <w:rtl/>
        </w:rPr>
        <w:t>בהשגה, הגיש העורר</w:t>
      </w:r>
      <w:r w:rsidR="00EC0188">
        <w:rPr>
          <w:rFonts w:ascii="Arial" w:hAnsi="Arial" w:hint="cs"/>
          <w:noProof w:val="0"/>
          <w:rtl/>
        </w:rPr>
        <w:t xml:space="preserve"> את ה</w:t>
      </w:r>
      <w:r>
        <w:rPr>
          <w:rFonts w:ascii="Arial" w:hAnsi="Arial"/>
          <w:noProof w:val="0"/>
          <w:rtl/>
        </w:rPr>
        <w:t>ערר</w:t>
      </w:r>
      <w:r w:rsidR="00EC0188">
        <w:rPr>
          <w:rFonts w:ascii="Arial" w:hAnsi="Arial" w:hint="cs"/>
          <w:noProof w:val="0"/>
          <w:rtl/>
        </w:rPr>
        <w:t xml:space="preserve"> בתיק</w:t>
      </w:r>
      <w:r>
        <w:rPr>
          <w:rFonts w:ascii="Arial" w:hAnsi="Arial"/>
          <w:noProof w:val="0"/>
          <w:rtl/>
        </w:rPr>
        <w:t xml:space="preserve"> </w:t>
      </w:r>
      <w:r w:rsidR="00B96768">
        <w:rPr>
          <w:rFonts w:ascii="Arial" w:hAnsi="Arial"/>
          <w:noProof w:val="0"/>
          <w:rtl/>
        </w:rPr>
        <w:t>ו"ע 3944-05-20</w:t>
      </w:r>
      <w:r w:rsidR="00B96768">
        <w:rPr>
          <w:rFonts w:ascii="Arial" w:hAnsi="Arial" w:hint="cs"/>
          <w:noProof w:val="0"/>
          <w:rtl/>
        </w:rPr>
        <w:t>.</w:t>
      </w:r>
    </w:p>
    <w:p w:rsidR="006D68C9" w:rsidRPr="00EC0188"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ביום 30.6.2020 ניתנה החלטת המשיב בהשגה, לפיה נדחתה ההשגה. נקבע כי המקרקעין אינם עומדים בהגדרת "דירת מגורים" ולכן העורר לא זכאי לחישוב לינ</w:t>
      </w:r>
      <w:r w:rsidR="00EC0188">
        <w:rPr>
          <w:rFonts w:ascii="Arial" w:hAnsi="Arial" w:hint="cs"/>
          <w:noProof w:val="0"/>
          <w:rtl/>
        </w:rPr>
        <w:t>י</w:t>
      </w:r>
      <w:r>
        <w:rPr>
          <w:rFonts w:ascii="Arial" w:hAnsi="Arial"/>
          <w:noProof w:val="0"/>
          <w:rtl/>
        </w:rPr>
        <w:t xml:space="preserve">ארי מוטב, נדחתה בקשת העורר להתרת עלות מוערכת של עבודה עצמית כהוצאה מהשבח, ונדחתה הטענה </w:t>
      </w:r>
      <w:r w:rsidR="00B96768">
        <w:rPr>
          <w:rFonts w:ascii="Arial" w:hAnsi="Arial" w:hint="cs"/>
          <w:noProof w:val="0"/>
          <w:rtl/>
        </w:rPr>
        <w:t xml:space="preserve">בדבר </w:t>
      </w:r>
      <w:r>
        <w:rPr>
          <w:rFonts w:ascii="Arial" w:hAnsi="Arial"/>
          <w:noProof w:val="0"/>
          <w:rtl/>
        </w:rPr>
        <w:t>קביעת שווי רכישה נוסף.</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לצד דחיית ההשגה, הוחלט לתקן את השומה בהתאם לסעיף 85 לחוק, באופן ששווי הרכישה עבור חלקו על העורר, נקבע על</w:t>
      </w:r>
      <w:r w:rsidR="00B96768">
        <w:rPr>
          <w:rFonts w:ascii="Arial" w:hAnsi="Arial"/>
          <w:noProof w:val="0"/>
          <w:rtl/>
        </w:rPr>
        <w:t xml:space="preserve"> סך של 603,900 ₪ ליום 24.3.1994</w:t>
      </w:r>
      <w:r>
        <w:rPr>
          <w:rFonts w:ascii="Arial" w:hAnsi="Arial"/>
          <w:noProof w:val="0"/>
          <w:rtl/>
        </w:rPr>
        <w:t xml:space="preserve"> </w:t>
      </w:r>
      <w:r w:rsidR="00EC0188">
        <w:rPr>
          <w:rFonts w:ascii="Arial" w:hAnsi="Arial" w:hint="cs"/>
          <w:noProof w:val="0"/>
          <w:rtl/>
        </w:rPr>
        <w:t xml:space="preserve">ונקבע </w:t>
      </w:r>
      <w:r>
        <w:rPr>
          <w:rFonts w:ascii="Arial" w:hAnsi="Arial"/>
          <w:noProof w:val="0"/>
          <w:rtl/>
        </w:rPr>
        <w:t>כי הסכום העודף ששילם העורר בעקבות הסכם הפשרה</w:t>
      </w:r>
      <w:r w:rsidR="00EC0188">
        <w:rPr>
          <w:rFonts w:ascii="Arial" w:hAnsi="Arial" w:hint="cs"/>
          <w:noProof w:val="0"/>
          <w:rtl/>
        </w:rPr>
        <w:t>,</w:t>
      </w:r>
      <w:r>
        <w:rPr>
          <w:rFonts w:ascii="Arial" w:hAnsi="Arial"/>
          <w:noProof w:val="0"/>
          <w:rtl/>
        </w:rPr>
        <w:t xml:space="preserve"> בגין שערוך התמורה שלא שולמה במועד הרכישה, אינו מותר בניכוי כהוצאה מהשבח.</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על החלטה זו של המשיב, הגיש העורר</w:t>
      </w:r>
      <w:r w:rsidR="00EC0188">
        <w:rPr>
          <w:rFonts w:ascii="Arial" w:hAnsi="Arial" w:hint="cs"/>
          <w:noProof w:val="0"/>
          <w:rtl/>
        </w:rPr>
        <w:t xml:space="preserve"> את</w:t>
      </w:r>
      <w:r>
        <w:rPr>
          <w:rFonts w:ascii="Arial" w:hAnsi="Arial"/>
          <w:noProof w:val="0"/>
          <w:rtl/>
        </w:rPr>
        <w:t xml:space="preserve"> הערר ש</w:t>
      </w:r>
      <w:r w:rsidR="00EC0188">
        <w:rPr>
          <w:rFonts w:ascii="Arial" w:hAnsi="Arial" w:hint="cs"/>
          <w:noProof w:val="0"/>
          <w:rtl/>
        </w:rPr>
        <w:t xml:space="preserve">בתיק </w:t>
      </w:r>
      <w:r>
        <w:rPr>
          <w:rFonts w:ascii="Arial" w:hAnsi="Arial"/>
          <w:noProof w:val="0"/>
          <w:rtl/>
        </w:rPr>
        <w:t>ו"ע 61186-07-20.</w:t>
      </w:r>
      <w:r w:rsidR="00EC0188">
        <w:rPr>
          <w:rFonts w:ascii="Arial" w:hAnsi="Arial" w:hint="cs"/>
          <w:noProof w:val="0"/>
          <w:rtl/>
        </w:rPr>
        <w:t xml:space="preserve"> הדיון בשני העררים אוחד.</w:t>
      </w:r>
    </w:p>
    <w:p w:rsidR="006D68C9" w:rsidRPr="00EC0188" w:rsidRDefault="006D68C9" w:rsidP="006D68C9">
      <w:pPr>
        <w:spacing w:line="360" w:lineRule="auto"/>
        <w:jc w:val="both"/>
        <w:rPr>
          <w:rFonts w:ascii="Arial" w:hAnsi="Arial"/>
          <w:noProof w:val="0"/>
        </w:rPr>
      </w:pPr>
    </w:p>
    <w:p w:rsidR="006D68C9" w:rsidRDefault="006D68C9" w:rsidP="006D68C9">
      <w:pPr>
        <w:rPr>
          <w:rFonts w:ascii="Arial" w:hAnsi="Arial"/>
          <w:b/>
          <w:bCs/>
          <w:noProof w:val="0"/>
          <w:u w:val="single"/>
          <w:rtl/>
        </w:rPr>
      </w:pPr>
      <w:r>
        <w:rPr>
          <w:rFonts w:ascii="Arial" w:hAnsi="Arial"/>
          <w:b/>
          <w:bCs/>
          <w:noProof w:val="0"/>
          <w:u w:val="single"/>
          <w:rtl/>
        </w:rPr>
        <w:t>טענות הצדדים</w:t>
      </w:r>
    </w:p>
    <w:p w:rsidR="006D68C9" w:rsidRDefault="006D68C9" w:rsidP="006D68C9">
      <w:pPr>
        <w:spacing w:line="360" w:lineRule="auto"/>
        <w:jc w:val="both"/>
        <w:rPr>
          <w:rFonts w:ascii="Arial" w:hAnsi="Arial"/>
          <w:noProof w:val="0"/>
          <w:rtl/>
        </w:rPr>
      </w:pPr>
    </w:p>
    <w:p w:rsidR="006D68C9" w:rsidRDefault="006D68C9" w:rsidP="00EC0188">
      <w:pPr>
        <w:spacing w:line="360" w:lineRule="auto"/>
        <w:jc w:val="both"/>
        <w:rPr>
          <w:rFonts w:ascii="Arial" w:hAnsi="Arial"/>
          <w:noProof w:val="0"/>
          <w:u w:val="single"/>
          <w:rtl/>
        </w:rPr>
      </w:pPr>
      <w:r>
        <w:rPr>
          <w:rFonts w:ascii="Arial" w:hAnsi="Arial"/>
          <w:noProof w:val="0"/>
          <w:u w:val="single"/>
          <w:rtl/>
        </w:rPr>
        <w:t>טענות העוררים</w:t>
      </w:r>
    </w:p>
    <w:p w:rsidR="006D68C9" w:rsidRDefault="006D68C9" w:rsidP="006D68C9">
      <w:pPr>
        <w:pStyle w:val="ae"/>
        <w:numPr>
          <w:ilvl w:val="0"/>
          <w:numId w:val="1"/>
        </w:numPr>
        <w:spacing w:line="360" w:lineRule="auto"/>
        <w:jc w:val="both"/>
        <w:rPr>
          <w:rFonts w:ascii="Arial" w:hAnsi="Arial"/>
          <w:noProof w:val="0"/>
          <w:rtl/>
        </w:rPr>
      </w:pPr>
      <w:r>
        <w:rPr>
          <w:rFonts w:ascii="Arial" w:hAnsi="Arial"/>
          <w:noProof w:val="0"/>
          <w:rtl/>
        </w:rPr>
        <w:t>לטענת העורר, הנכס שימש במרבית תקופת השבח למגורים ולכן יש לייחס למכירה חישוב לינ</w:t>
      </w:r>
      <w:r w:rsidR="00EC0188">
        <w:rPr>
          <w:rFonts w:ascii="Arial" w:hAnsi="Arial" w:hint="cs"/>
          <w:noProof w:val="0"/>
          <w:rtl/>
        </w:rPr>
        <w:t>י</w:t>
      </w:r>
      <w:r>
        <w:rPr>
          <w:rFonts w:ascii="Arial" w:hAnsi="Arial"/>
          <w:noProof w:val="0"/>
          <w:rtl/>
        </w:rPr>
        <w:t xml:space="preserve">ארי מוטב לפי סעיף 48א(ב2) לחוק. </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לטענת העורר, בהיות הנכס במצב פיזי ירוד לאחר שנפרץ וניזוק</w:t>
      </w:r>
      <w:r w:rsidR="00EC0188">
        <w:rPr>
          <w:rFonts w:ascii="Arial" w:hAnsi="Arial" w:hint="cs"/>
          <w:noProof w:val="0"/>
          <w:rtl/>
        </w:rPr>
        <w:t>,</w:t>
      </w:r>
      <w:r>
        <w:rPr>
          <w:rFonts w:ascii="Arial" w:hAnsi="Arial"/>
          <w:noProof w:val="0"/>
          <w:rtl/>
        </w:rPr>
        <w:t xml:space="preserve"> בין השאר</w:t>
      </w:r>
      <w:r w:rsidR="00EC0188">
        <w:rPr>
          <w:rFonts w:ascii="Arial" w:hAnsi="Arial" w:hint="cs"/>
          <w:noProof w:val="0"/>
          <w:rtl/>
        </w:rPr>
        <w:t>,</w:t>
      </w:r>
      <w:r>
        <w:rPr>
          <w:rFonts w:ascii="Arial" w:hAnsi="Arial"/>
          <w:noProof w:val="0"/>
          <w:rtl/>
        </w:rPr>
        <w:t xml:space="preserve"> על ידי שריפה שפרצה בחלק מחדריו, וכפועל יוצא חסרים בו מתקנים הכרחיים למגורים</w:t>
      </w:r>
      <w:r w:rsidR="00EC0188">
        <w:rPr>
          <w:rFonts w:ascii="Arial" w:hAnsi="Arial" w:hint="cs"/>
          <w:noProof w:val="0"/>
          <w:rtl/>
        </w:rPr>
        <w:t>,</w:t>
      </w:r>
      <w:r>
        <w:rPr>
          <w:rFonts w:ascii="Arial" w:hAnsi="Arial"/>
          <w:noProof w:val="0"/>
          <w:rtl/>
        </w:rPr>
        <w:t xml:space="preserve"> כגון מערכות מים וחשמל, חלונות, דלתות, מתקני רחצה, מטבח וכדומה</w:t>
      </w:r>
      <w:r w:rsidR="00EC0188">
        <w:rPr>
          <w:rFonts w:ascii="Arial" w:hAnsi="Arial" w:hint="cs"/>
          <w:noProof w:val="0"/>
          <w:rtl/>
        </w:rPr>
        <w:t>,</w:t>
      </w:r>
      <w:r>
        <w:rPr>
          <w:rFonts w:ascii="Arial" w:hAnsi="Arial"/>
          <w:noProof w:val="0"/>
          <w:rtl/>
        </w:rPr>
        <w:t xml:space="preserve"> אין כדי להוציא אותו מ</w:t>
      </w:r>
      <w:r w:rsidR="00EC0188">
        <w:rPr>
          <w:rFonts w:ascii="Arial" w:hAnsi="Arial" w:hint="cs"/>
          <w:noProof w:val="0"/>
          <w:rtl/>
        </w:rPr>
        <w:t>ה</w:t>
      </w:r>
      <w:r>
        <w:rPr>
          <w:rFonts w:ascii="Arial" w:hAnsi="Arial"/>
          <w:noProof w:val="0"/>
          <w:rtl/>
        </w:rPr>
        <w:t>גדרת דירת מגורים. ועוד, כי יעוד הנכס מבחינה אובייקטיבית, לפי טיבו ובהתאם לקיומן של תשתיות למתקנים המצויים בדרך כלל בדירת מגורים</w:t>
      </w:r>
      <w:r w:rsidR="00EC0188">
        <w:rPr>
          <w:rFonts w:ascii="Arial" w:hAnsi="Arial" w:hint="cs"/>
          <w:noProof w:val="0"/>
          <w:rtl/>
        </w:rPr>
        <w:t>,</w:t>
      </w:r>
      <w:r>
        <w:rPr>
          <w:rFonts w:ascii="Arial" w:hAnsi="Arial"/>
          <w:noProof w:val="0"/>
          <w:rtl/>
        </w:rPr>
        <w:t xml:space="preserve"> מלמד אף ה</w:t>
      </w:r>
      <w:r w:rsidR="00EC0188">
        <w:rPr>
          <w:rFonts w:ascii="Arial" w:hAnsi="Arial" w:hint="cs"/>
          <w:noProof w:val="0"/>
          <w:rtl/>
        </w:rPr>
        <w:t>וא</w:t>
      </w:r>
      <w:r>
        <w:rPr>
          <w:rFonts w:ascii="Arial" w:hAnsi="Arial"/>
          <w:noProof w:val="0"/>
          <w:rtl/>
        </w:rPr>
        <w:t xml:space="preserve"> כי ה</w:t>
      </w:r>
      <w:r w:rsidR="00EC0188">
        <w:rPr>
          <w:rFonts w:ascii="Arial" w:hAnsi="Arial" w:hint="cs"/>
          <w:noProof w:val="0"/>
          <w:rtl/>
        </w:rPr>
        <w:t xml:space="preserve">נכס </w:t>
      </w:r>
      <w:r>
        <w:rPr>
          <w:rFonts w:ascii="Arial" w:hAnsi="Arial"/>
          <w:noProof w:val="0"/>
          <w:rtl/>
        </w:rPr>
        <w:t xml:space="preserve">מהווה דירת מגורים. </w:t>
      </w:r>
    </w:p>
    <w:p w:rsidR="006D68C9" w:rsidRPr="00EC0188"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lastRenderedPageBreak/>
        <w:t>עוד לטענת העורר, מקום שהנכס מצוי באזור המיועד למגורים לפי תכנית המתאר וכן שימש בעבר למגורים ואינו מיועד לשימוש אחר, יש להמשיך ולראות בו כעונה להגדרת דירת מגורים.</w:t>
      </w:r>
    </w:p>
    <w:p w:rsidR="006D68C9"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 xml:space="preserve">לטענת העורר, עיון בחוות הדעת השמאית שנערכה על ידי הגברת צביה זעירא מראה כי </w:t>
      </w:r>
      <w:r w:rsidR="00EC0188">
        <w:rPr>
          <w:rFonts w:ascii="Arial" w:hAnsi="Arial" w:hint="cs"/>
          <w:noProof w:val="0"/>
          <w:rtl/>
        </w:rPr>
        <w:t xml:space="preserve">הנכס </w:t>
      </w:r>
      <w:r>
        <w:rPr>
          <w:rFonts w:ascii="Arial" w:hAnsi="Arial"/>
          <w:noProof w:val="0"/>
          <w:rtl/>
        </w:rPr>
        <w:t>הינו מבנה לשימור אשר אין אפשרות להריסתו. כך, לטענתו, סיווג ה</w:t>
      </w:r>
      <w:r w:rsidR="00EC0188">
        <w:rPr>
          <w:rFonts w:ascii="Arial" w:hAnsi="Arial" w:hint="cs"/>
          <w:noProof w:val="0"/>
          <w:rtl/>
        </w:rPr>
        <w:t>נכס</w:t>
      </w:r>
      <w:r>
        <w:rPr>
          <w:rFonts w:ascii="Arial" w:hAnsi="Arial"/>
          <w:noProof w:val="0"/>
          <w:rtl/>
        </w:rPr>
        <w:t xml:space="preserve"> כקרקע לצורך חישוב השבח הינו מלאכותי ואינו מתיישב עם המצב התכנוני של</w:t>
      </w:r>
      <w:r w:rsidR="00EC0188">
        <w:rPr>
          <w:rFonts w:ascii="Arial" w:hAnsi="Arial" w:hint="cs"/>
          <w:noProof w:val="0"/>
          <w:rtl/>
        </w:rPr>
        <w:t xml:space="preserve">ו. נטען כי </w:t>
      </w:r>
      <w:r>
        <w:rPr>
          <w:rFonts w:ascii="Arial" w:hAnsi="Arial"/>
          <w:noProof w:val="0"/>
          <w:rtl/>
        </w:rPr>
        <w:t>מחוות הדעת עולה כי עלות התאמת המבנה למגורים לא גבוהה.</w:t>
      </w:r>
    </w:p>
    <w:p w:rsidR="006D68C9" w:rsidRPr="00EC0188" w:rsidRDefault="006D68C9" w:rsidP="006D68C9">
      <w:pPr>
        <w:pStyle w:val="ae"/>
        <w:spacing w:line="360" w:lineRule="auto"/>
        <w:jc w:val="both"/>
        <w:rPr>
          <w:rFonts w:ascii="Arial" w:hAnsi="Arial"/>
          <w:noProof w:val="0"/>
        </w:rPr>
      </w:pPr>
    </w:p>
    <w:p w:rsidR="006D68C9" w:rsidRDefault="006D68C9" w:rsidP="00EC0188">
      <w:pPr>
        <w:pStyle w:val="ae"/>
        <w:numPr>
          <w:ilvl w:val="0"/>
          <w:numId w:val="1"/>
        </w:numPr>
        <w:spacing w:line="360" w:lineRule="auto"/>
        <w:jc w:val="both"/>
        <w:rPr>
          <w:rFonts w:ascii="Arial" w:hAnsi="Arial"/>
          <w:noProof w:val="0"/>
        </w:rPr>
      </w:pPr>
      <w:r>
        <w:rPr>
          <w:rFonts w:ascii="Arial" w:hAnsi="Arial"/>
          <w:noProof w:val="0"/>
          <w:rtl/>
        </w:rPr>
        <w:t>לטענת העורר, חלק מה</w:t>
      </w:r>
      <w:r w:rsidR="00EC0188">
        <w:rPr>
          <w:rFonts w:ascii="Arial" w:hAnsi="Arial" w:hint="cs"/>
          <w:noProof w:val="0"/>
          <w:rtl/>
        </w:rPr>
        <w:t>נכס</w:t>
      </w:r>
      <w:r>
        <w:rPr>
          <w:rFonts w:ascii="Arial" w:hAnsi="Arial"/>
          <w:noProof w:val="0"/>
          <w:rtl/>
        </w:rPr>
        <w:t xml:space="preserve"> (חדר אחד) שימש לבית כנסת המהווה אף הוא שימוש למגורים לפי סעיף 49 לחוק.</w:t>
      </w:r>
    </w:p>
    <w:p w:rsidR="006D68C9" w:rsidRPr="00EC0188" w:rsidRDefault="006D68C9" w:rsidP="006D68C9">
      <w:pPr>
        <w:pStyle w:val="ae"/>
        <w:spacing w:line="360" w:lineRule="auto"/>
        <w:jc w:val="both"/>
        <w:rPr>
          <w:rFonts w:ascii="Arial" w:hAnsi="Arial"/>
          <w:noProof w:val="0"/>
        </w:rPr>
      </w:pPr>
    </w:p>
    <w:p w:rsidR="006D68C9" w:rsidRDefault="006D68C9" w:rsidP="00847D6E">
      <w:pPr>
        <w:pStyle w:val="ae"/>
        <w:numPr>
          <w:ilvl w:val="0"/>
          <w:numId w:val="1"/>
        </w:numPr>
        <w:spacing w:line="360" w:lineRule="auto"/>
        <w:jc w:val="both"/>
        <w:rPr>
          <w:rFonts w:ascii="Arial" w:hAnsi="Arial"/>
          <w:noProof w:val="0"/>
        </w:rPr>
      </w:pPr>
      <w:r>
        <w:rPr>
          <w:rFonts w:ascii="Arial" w:hAnsi="Arial"/>
          <w:noProof w:val="0"/>
          <w:rtl/>
        </w:rPr>
        <w:t>לטענת העורר, המחלוקת רבת השנים בין העורר ושותפיו לבין המוכר דרגן, מנעה מהעורר להירשם כבעלים החוקי של ה</w:t>
      </w:r>
      <w:r w:rsidR="00EC0188">
        <w:rPr>
          <w:rFonts w:ascii="Arial" w:hAnsi="Arial" w:hint="cs"/>
          <w:noProof w:val="0"/>
          <w:rtl/>
        </w:rPr>
        <w:t>נכס</w:t>
      </w:r>
      <w:r>
        <w:rPr>
          <w:rFonts w:ascii="Arial" w:hAnsi="Arial"/>
          <w:noProof w:val="0"/>
          <w:rtl/>
        </w:rPr>
        <w:t xml:space="preserve"> ולכן נבצר ממנו לעשות שימוש ב</w:t>
      </w:r>
      <w:r w:rsidR="00EC0188">
        <w:rPr>
          <w:rFonts w:ascii="Arial" w:hAnsi="Arial" w:hint="cs"/>
          <w:noProof w:val="0"/>
          <w:rtl/>
        </w:rPr>
        <w:t xml:space="preserve">ו </w:t>
      </w:r>
      <w:r>
        <w:rPr>
          <w:rFonts w:ascii="Arial" w:hAnsi="Arial"/>
          <w:noProof w:val="0"/>
          <w:rtl/>
        </w:rPr>
        <w:t>או לאכלס אותו, בין השאר</w:t>
      </w:r>
      <w:r w:rsidR="00EC0188">
        <w:rPr>
          <w:rFonts w:ascii="Arial" w:hAnsi="Arial" w:hint="cs"/>
          <w:noProof w:val="0"/>
          <w:rtl/>
        </w:rPr>
        <w:t>,</w:t>
      </w:r>
      <w:r>
        <w:rPr>
          <w:rFonts w:ascii="Arial" w:hAnsi="Arial"/>
          <w:noProof w:val="0"/>
          <w:rtl/>
        </w:rPr>
        <w:t xml:space="preserve"> מפני שדרגן לא פינה אותו כפי שנדרש ונותרו פולשים שהתגוררו בו דרך קבע. כך</w:t>
      </w:r>
      <w:r w:rsidR="00EC0188">
        <w:rPr>
          <w:rFonts w:ascii="Arial" w:hAnsi="Arial" w:hint="cs"/>
          <w:noProof w:val="0"/>
          <w:rtl/>
        </w:rPr>
        <w:t>,</w:t>
      </w:r>
      <w:r>
        <w:rPr>
          <w:rFonts w:ascii="Arial" w:hAnsi="Arial"/>
          <w:noProof w:val="0"/>
          <w:rtl/>
        </w:rPr>
        <w:t xml:space="preserve"> לטענתו, הסיבה העיקרית שלא אוכלס ה</w:t>
      </w:r>
      <w:r w:rsidR="00EC0188">
        <w:rPr>
          <w:rFonts w:ascii="Arial" w:hAnsi="Arial" w:hint="cs"/>
          <w:noProof w:val="0"/>
          <w:rtl/>
        </w:rPr>
        <w:t>נכס</w:t>
      </w:r>
      <w:r>
        <w:rPr>
          <w:rFonts w:ascii="Arial" w:hAnsi="Arial"/>
          <w:noProof w:val="0"/>
          <w:rtl/>
        </w:rPr>
        <w:t xml:space="preserve"> נעוצה המחלוקת בין הצדדים ובמצב המשפטי שנוצר בעקבות</w:t>
      </w:r>
      <w:r w:rsidR="00847D6E">
        <w:rPr>
          <w:rFonts w:ascii="Arial" w:hAnsi="Arial" w:hint="cs"/>
          <w:noProof w:val="0"/>
          <w:rtl/>
        </w:rPr>
        <w:t xml:space="preserve"> כך,</w:t>
      </w:r>
      <w:r>
        <w:rPr>
          <w:rFonts w:ascii="Arial" w:hAnsi="Arial"/>
          <w:noProof w:val="0"/>
          <w:rtl/>
        </w:rPr>
        <w:t xml:space="preserve"> אך אין זה משנה מטיבו של הנכס ומטרתו לשמש לצרכי מגורים. העורר הוסיף </w:t>
      </w:r>
      <w:r w:rsidR="00847D6E">
        <w:rPr>
          <w:rFonts w:ascii="Arial" w:hAnsi="Arial" w:hint="cs"/>
          <w:noProof w:val="0"/>
          <w:rtl/>
        </w:rPr>
        <w:t xml:space="preserve">וטען </w:t>
      </w:r>
      <w:r>
        <w:rPr>
          <w:rFonts w:ascii="Arial" w:hAnsi="Arial"/>
          <w:noProof w:val="0"/>
          <w:rtl/>
        </w:rPr>
        <w:t>כי לצורך בחינת תקופת השימוש שבה ה</w:t>
      </w:r>
      <w:r w:rsidR="00847D6E">
        <w:rPr>
          <w:rFonts w:ascii="Arial" w:hAnsi="Arial" w:hint="cs"/>
          <w:noProof w:val="0"/>
          <w:rtl/>
        </w:rPr>
        <w:t>נכס</w:t>
      </w:r>
      <w:r>
        <w:rPr>
          <w:rFonts w:ascii="Arial" w:hAnsi="Arial"/>
          <w:noProof w:val="0"/>
          <w:rtl/>
        </w:rPr>
        <w:t xml:space="preserve"> שימש למגורים יש לכלול גם תקופות שבהן לא נעשה בו כל שימוש, כך שייחשבו אף הן כתקופות בהן נעשה שימוש למגורים.</w:t>
      </w:r>
    </w:p>
    <w:p w:rsidR="006D68C9" w:rsidRPr="00847D6E" w:rsidRDefault="006D68C9" w:rsidP="006D68C9">
      <w:pPr>
        <w:spacing w:line="360" w:lineRule="auto"/>
        <w:jc w:val="both"/>
        <w:rPr>
          <w:rFonts w:ascii="Arial" w:hAnsi="Arial"/>
          <w:noProof w:val="0"/>
        </w:rPr>
      </w:pPr>
    </w:p>
    <w:p w:rsidR="006D68C9" w:rsidRDefault="006D68C9" w:rsidP="00847D6E">
      <w:pPr>
        <w:pStyle w:val="ae"/>
        <w:numPr>
          <w:ilvl w:val="0"/>
          <w:numId w:val="1"/>
        </w:numPr>
        <w:spacing w:line="360" w:lineRule="auto"/>
        <w:jc w:val="both"/>
        <w:rPr>
          <w:rFonts w:ascii="Arial" w:hAnsi="Arial"/>
          <w:noProof w:val="0"/>
        </w:rPr>
      </w:pPr>
      <w:r>
        <w:rPr>
          <w:rFonts w:ascii="Arial" w:hAnsi="Arial"/>
          <w:noProof w:val="0"/>
          <w:rtl/>
        </w:rPr>
        <w:t>לטענת העורר, הנכס שימש למגורים במרבית תקופת השבח ורק ערב מסירת החזקה לעורר ושותפיו</w:t>
      </w:r>
      <w:r w:rsidR="00847D6E">
        <w:rPr>
          <w:rFonts w:ascii="Arial" w:hAnsi="Arial" w:hint="cs"/>
          <w:noProof w:val="0"/>
          <w:rtl/>
        </w:rPr>
        <w:t>,</w:t>
      </w:r>
      <w:r>
        <w:rPr>
          <w:rFonts w:ascii="Arial" w:hAnsi="Arial"/>
          <w:noProof w:val="0"/>
          <w:rtl/>
        </w:rPr>
        <w:t xml:space="preserve"> בעקבות הסכם הפשרה, ומפחד מפני פולשים, נקט דרגן בפעולות לניתוק החשמל והמים, תלש חלונות ושבר אלמנטים חיוניים בממכר בכדי למנוע פלישת גורמים לא רצויים. לטענתו, בחינה של תקופת השבח מראה כי הנכס שימש למגורים לפחות ארבע חמישיות מתקופת השבח.</w:t>
      </w:r>
    </w:p>
    <w:p w:rsidR="006D68C9"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בניגוד לגישת המשיב, טען העורר כי הפסולת בנכס אינה פוסלת אותו מלהיות בית מגורים. הואיל והנכס שימש בעבר כדירת מגורים, אין די בפגיעה הפיסית ובהזנחה כדי להוציא מעמדו כדירת מגורים.</w:t>
      </w:r>
    </w:p>
    <w:p w:rsidR="006D68C9" w:rsidRDefault="006D68C9" w:rsidP="006D68C9">
      <w:pPr>
        <w:pStyle w:val="ae"/>
        <w:spacing w:line="360" w:lineRule="auto"/>
        <w:jc w:val="both"/>
        <w:rPr>
          <w:rFonts w:ascii="Arial" w:hAnsi="Arial"/>
          <w:noProof w:val="0"/>
        </w:rPr>
      </w:pPr>
    </w:p>
    <w:p w:rsidR="006D68C9" w:rsidRDefault="006D68C9" w:rsidP="00847D6E">
      <w:pPr>
        <w:pStyle w:val="ae"/>
        <w:numPr>
          <w:ilvl w:val="0"/>
          <w:numId w:val="1"/>
        </w:numPr>
        <w:spacing w:line="360" w:lineRule="auto"/>
        <w:jc w:val="both"/>
        <w:rPr>
          <w:rFonts w:ascii="Arial" w:hAnsi="Arial"/>
          <w:noProof w:val="0"/>
        </w:rPr>
      </w:pPr>
      <w:r>
        <w:rPr>
          <w:rFonts w:ascii="Arial" w:hAnsi="Arial"/>
          <w:noProof w:val="0"/>
          <w:rtl/>
        </w:rPr>
        <w:lastRenderedPageBreak/>
        <w:t>בהמשך לכך, לטענת העורר</w:t>
      </w:r>
      <w:r w:rsidR="00847D6E">
        <w:rPr>
          <w:rFonts w:ascii="Arial" w:hAnsi="Arial" w:hint="cs"/>
          <w:noProof w:val="0"/>
          <w:rtl/>
        </w:rPr>
        <w:t>,</w:t>
      </w:r>
      <w:r>
        <w:rPr>
          <w:rFonts w:ascii="Arial" w:hAnsi="Arial"/>
          <w:noProof w:val="0"/>
          <w:rtl/>
        </w:rPr>
        <w:t xml:space="preserve"> יש לקבוע את ההוצאה שהוציא להשלמת הרכישה כיום רכישה חדש של הנכס. במועד החתימה על הסכם הפשרה ניתנה לו זכות הבעלות והחזקה במקרקעין שלא הייתה נתונה לו באופן חד-משמעי קודם לכן. לחילופין טען העורר, כי יש להתיר את סכום הפשרה כהוצאה מותרת בניכוי מהשבח מפני שאלמלא אותה ההוצאה לא הייתה נתונה לעורר זכות הבעלות והחזקה ב</w:t>
      </w:r>
      <w:r w:rsidR="00847D6E">
        <w:rPr>
          <w:rFonts w:ascii="Arial" w:hAnsi="Arial" w:hint="cs"/>
          <w:noProof w:val="0"/>
          <w:rtl/>
        </w:rPr>
        <w:t>נכס</w:t>
      </w:r>
      <w:r>
        <w:rPr>
          <w:rFonts w:ascii="Arial" w:hAnsi="Arial"/>
          <w:noProof w:val="0"/>
          <w:rtl/>
        </w:rPr>
        <w:t xml:space="preserve"> ולא היה בידיו להתקשר בעסקת המכירה נשואת השומה.</w:t>
      </w:r>
    </w:p>
    <w:p w:rsidR="006D68C9" w:rsidRPr="00847D6E" w:rsidRDefault="006D68C9" w:rsidP="006D68C9">
      <w:pPr>
        <w:pStyle w:val="ae"/>
        <w:spacing w:line="360" w:lineRule="auto"/>
        <w:jc w:val="both"/>
        <w:rPr>
          <w:rFonts w:ascii="Arial" w:hAnsi="Arial"/>
          <w:noProof w:val="0"/>
        </w:rPr>
      </w:pPr>
    </w:p>
    <w:p w:rsidR="006D68C9" w:rsidRDefault="006D68C9" w:rsidP="00847D6E">
      <w:pPr>
        <w:pStyle w:val="ae"/>
        <w:numPr>
          <w:ilvl w:val="0"/>
          <w:numId w:val="1"/>
        </w:numPr>
        <w:spacing w:line="360" w:lineRule="auto"/>
        <w:jc w:val="both"/>
        <w:rPr>
          <w:rFonts w:ascii="Arial" w:hAnsi="Arial"/>
          <w:noProof w:val="0"/>
        </w:rPr>
      </w:pPr>
      <w:r>
        <w:rPr>
          <w:rFonts w:ascii="Arial" w:hAnsi="Arial"/>
          <w:noProof w:val="0"/>
          <w:rtl/>
        </w:rPr>
        <w:t>העורר הוסיף בהקשר זה, כי ניתן לראות בתשלום ששולם כריבית או כשכר טרחת עו"ד</w:t>
      </w:r>
      <w:r w:rsidR="00847D6E">
        <w:rPr>
          <w:rFonts w:ascii="Arial" w:hAnsi="Arial" w:hint="cs"/>
          <w:noProof w:val="0"/>
          <w:rtl/>
        </w:rPr>
        <w:t>,</w:t>
      </w:r>
      <w:r>
        <w:rPr>
          <w:rFonts w:ascii="Arial" w:hAnsi="Arial"/>
          <w:noProof w:val="0"/>
          <w:rtl/>
        </w:rPr>
        <w:t xml:space="preserve"> שהי</w:t>
      </w:r>
      <w:r w:rsidR="00847D6E">
        <w:rPr>
          <w:rFonts w:ascii="Arial" w:hAnsi="Arial" w:hint="cs"/>
          <w:noProof w:val="0"/>
          <w:rtl/>
        </w:rPr>
        <w:t xml:space="preserve">ו נדרשים </w:t>
      </w:r>
      <w:r>
        <w:rPr>
          <w:rFonts w:ascii="Arial" w:hAnsi="Arial"/>
          <w:noProof w:val="0"/>
          <w:rtl/>
        </w:rPr>
        <w:t xml:space="preserve">בניכוי לצורך הוכחת הבעלות של העורר ושותפיו בנכס, ומטעמים אלו </w:t>
      </w:r>
      <w:r w:rsidR="00847D6E">
        <w:rPr>
          <w:rFonts w:ascii="Arial" w:hAnsi="Arial" w:hint="cs"/>
          <w:noProof w:val="0"/>
          <w:rtl/>
        </w:rPr>
        <w:t xml:space="preserve">יש </w:t>
      </w:r>
      <w:r>
        <w:rPr>
          <w:rFonts w:ascii="Arial" w:hAnsi="Arial"/>
          <w:noProof w:val="0"/>
          <w:rtl/>
        </w:rPr>
        <w:t>להתיר את ההוצאה בניכוי מהשבח. כך</w:t>
      </w:r>
      <w:r w:rsidR="00847D6E">
        <w:rPr>
          <w:rFonts w:ascii="Arial" w:hAnsi="Arial" w:hint="cs"/>
          <w:noProof w:val="0"/>
          <w:rtl/>
        </w:rPr>
        <w:t>,</w:t>
      </w:r>
      <w:r>
        <w:rPr>
          <w:rFonts w:ascii="Arial" w:hAnsi="Arial"/>
          <w:noProof w:val="0"/>
          <w:rtl/>
        </w:rPr>
        <w:t xml:space="preserve"> לטענתו, סבר גם המשיב בשומה הראשונ</w:t>
      </w:r>
      <w:r w:rsidR="00847D6E">
        <w:rPr>
          <w:rFonts w:ascii="Arial" w:hAnsi="Arial" w:hint="cs"/>
          <w:noProof w:val="0"/>
          <w:rtl/>
        </w:rPr>
        <w:t>ה</w:t>
      </w:r>
      <w:r>
        <w:rPr>
          <w:rFonts w:ascii="Arial" w:hAnsi="Arial"/>
          <w:noProof w:val="0"/>
          <w:rtl/>
        </w:rPr>
        <w:t>, טרם התיקון.</w:t>
      </w:r>
    </w:p>
    <w:p w:rsidR="006D68C9" w:rsidRPr="00847D6E" w:rsidRDefault="006D68C9" w:rsidP="006D68C9">
      <w:pPr>
        <w:pStyle w:val="ae"/>
        <w:spacing w:line="360" w:lineRule="auto"/>
        <w:jc w:val="both"/>
        <w:rPr>
          <w:rFonts w:ascii="Arial" w:hAnsi="Arial"/>
          <w:noProof w:val="0"/>
        </w:rPr>
      </w:pPr>
    </w:p>
    <w:p w:rsidR="006D68C9" w:rsidRDefault="006D68C9" w:rsidP="00847D6E">
      <w:pPr>
        <w:pStyle w:val="ae"/>
        <w:numPr>
          <w:ilvl w:val="0"/>
          <w:numId w:val="1"/>
        </w:numPr>
        <w:spacing w:line="360" w:lineRule="auto"/>
        <w:jc w:val="both"/>
        <w:rPr>
          <w:rFonts w:ascii="Arial" w:hAnsi="Arial"/>
          <w:noProof w:val="0"/>
        </w:rPr>
      </w:pPr>
      <w:r>
        <w:rPr>
          <w:rFonts w:ascii="Arial" w:hAnsi="Arial"/>
          <w:noProof w:val="0"/>
          <w:rtl/>
        </w:rPr>
        <w:t xml:space="preserve"> לטענת העורר, יש להתיר בניכוי מהשבח את ההוצאות בגין השווי המוערך של עבודתו העצמית להשבחת הממכר, לפי סעיף 39(1) לחוק. העורר סבל מחסרון כי</w:t>
      </w:r>
      <w:r w:rsidR="00847D6E">
        <w:rPr>
          <w:rFonts w:ascii="Arial" w:hAnsi="Arial" w:hint="cs"/>
          <w:noProof w:val="0"/>
          <w:rtl/>
        </w:rPr>
        <w:t>ס</w:t>
      </w:r>
      <w:r>
        <w:rPr>
          <w:rFonts w:ascii="Arial" w:hAnsi="Arial"/>
          <w:noProof w:val="0"/>
          <w:rtl/>
        </w:rPr>
        <w:t xml:space="preserve"> חמור בעקבות עבודה רבה שעשה וכספים שהוציא בעקבות השתלשלות האירועים אשר החלה מרכישת המגרש, עובר </w:t>
      </w:r>
      <w:r w:rsidR="00847D6E">
        <w:rPr>
          <w:rFonts w:ascii="Arial" w:hAnsi="Arial" w:hint="cs"/>
          <w:noProof w:val="0"/>
          <w:rtl/>
        </w:rPr>
        <w:t>ל</w:t>
      </w:r>
      <w:r w:rsidR="00847D6E">
        <w:rPr>
          <w:rFonts w:ascii="Arial" w:hAnsi="Arial"/>
          <w:noProof w:val="0"/>
          <w:rtl/>
        </w:rPr>
        <w:t xml:space="preserve">קבלת החזקה וכלה במכירת </w:t>
      </w:r>
      <w:r w:rsidR="00847D6E">
        <w:rPr>
          <w:rFonts w:ascii="Arial" w:hAnsi="Arial" w:hint="cs"/>
          <w:noProof w:val="0"/>
          <w:rtl/>
        </w:rPr>
        <w:t>הנכס</w:t>
      </w:r>
      <w:r>
        <w:rPr>
          <w:rFonts w:ascii="Arial" w:hAnsi="Arial"/>
          <w:noProof w:val="0"/>
          <w:rtl/>
        </w:rPr>
        <w:t>.</w:t>
      </w:r>
    </w:p>
    <w:p w:rsidR="006D68C9" w:rsidRPr="00847D6E" w:rsidRDefault="006D68C9" w:rsidP="006D68C9">
      <w:pPr>
        <w:pStyle w:val="ae"/>
        <w:spacing w:line="360" w:lineRule="auto"/>
        <w:jc w:val="both"/>
        <w:rPr>
          <w:rFonts w:ascii="Arial" w:hAnsi="Arial"/>
          <w:noProof w:val="0"/>
        </w:rPr>
      </w:pPr>
    </w:p>
    <w:p w:rsidR="006D68C9" w:rsidRDefault="006D68C9" w:rsidP="007E0ECB">
      <w:pPr>
        <w:pStyle w:val="ae"/>
        <w:numPr>
          <w:ilvl w:val="0"/>
          <w:numId w:val="1"/>
        </w:numPr>
        <w:spacing w:line="360" w:lineRule="auto"/>
        <w:jc w:val="both"/>
        <w:rPr>
          <w:rFonts w:ascii="Arial" w:hAnsi="Arial"/>
          <w:noProof w:val="0"/>
        </w:rPr>
      </w:pPr>
      <w:r>
        <w:rPr>
          <w:rFonts w:ascii="Arial" w:hAnsi="Arial"/>
          <w:noProof w:val="0"/>
          <w:rtl/>
        </w:rPr>
        <w:t xml:space="preserve">לטענת העורר, החלטת המשיב להאריך את המועד למתן </w:t>
      </w:r>
      <w:r w:rsidR="00847D6E">
        <w:rPr>
          <w:rFonts w:ascii="Arial" w:hAnsi="Arial" w:hint="cs"/>
          <w:noProof w:val="0"/>
          <w:rtl/>
        </w:rPr>
        <w:t xml:space="preserve">החלטה </w:t>
      </w:r>
      <w:r>
        <w:rPr>
          <w:rFonts w:ascii="Arial" w:hAnsi="Arial"/>
          <w:noProof w:val="0"/>
          <w:rtl/>
        </w:rPr>
        <w:t>בהשגה אינה כדין, משום שלא התקבלה במסגרת שמונה החודשים המנויים בסעיף 87(ד) לחוק</w:t>
      </w:r>
      <w:r w:rsidR="00847D6E">
        <w:rPr>
          <w:rFonts w:ascii="Arial" w:hAnsi="Arial" w:hint="cs"/>
          <w:noProof w:val="0"/>
          <w:rtl/>
        </w:rPr>
        <w:t>.</w:t>
      </w:r>
      <w:r>
        <w:rPr>
          <w:rFonts w:ascii="Arial" w:hAnsi="Arial"/>
          <w:noProof w:val="0"/>
          <w:rtl/>
        </w:rPr>
        <w:t xml:space="preserve"> לטענת העורר</w:t>
      </w:r>
      <w:r w:rsidR="00847D6E">
        <w:rPr>
          <w:rFonts w:ascii="Arial" w:hAnsi="Arial" w:hint="cs"/>
          <w:noProof w:val="0"/>
          <w:rtl/>
        </w:rPr>
        <w:t>,</w:t>
      </w:r>
      <w:r>
        <w:rPr>
          <w:rFonts w:ascii="Arial" w:hAnsi="Arial"/>
          <w:noProof w:val="0"/>
          <w:rtl/>
        </w:rPr>
        <w:t xml:space="preserve"> השגתו הוגשה ביום 19.6.2019</w:t>
      </w:r>
      <w:r w:rsidR="00847D6E">
        <w:rPr>
          <w:rFonts w:ascii="Arial" w:hAnsi="Arial" w:hint="cs"/>
          <w:noProof w:val="0"/>
          <w:rtl/>
        </w:rPr>
        <w:t>,</w:t>
      </w:r>
      <w:r>
        <w:rPr>
          <w:rFonts w:ascii="Arial" w:hAnsi="Arial"/>
          <w:noProof w:val="0"/>
          <w:rtl/>
        </w:rPr>
        <w:t xml:space="preserve"> </w:t>
      </w:r>
      <w:r w:rsidR="00847D6E">
        <w:rPr>
          <w:rFonts w:ascii="Arial" w:hAnsi="Arial" w:hint="cs"/>
          <w:noProof w:val="0"/>
          <w:rtl/>
        </w:rPr>
        <w:t>ו</w:t>
      </w:r>
      <w:r>
        <w:rPr>
          <w:rFonts w:ascii="Arial" w:hAnsi="Arial"/>
          <w:noProof w:val="0"/>
          <w:rtl/>
        </w:rPr>
        <w:t>גם אם תתקבל טענת המשיב לפי</w:t>
      </w:r>
      <w:r w:rsidR="00847D6E">
        <w:rPr>
          <w:rFonts w:ascii="Arial" w:hAnsi="Arial" w:hint="cs"/>
          <w:noProof w:val="0"/>
          <w:rtl/>
        </w:rPr>
        <w:t>ה</w:t>
      </w:r>
      <w:r>
        <w:rPr>
          <w:rFonts w:ascii="Arial" w:hAnsi="Arial"/>
          <w:noProof w:val="0"/>
          <w:rtl/>
        </w:rPr>
        <w:t xml:space="preserve"> ההשגה הוגשה ביום 1.7.2019, דין ההחלטה להארכת המועד למתן החלטה בהשגה, שניתנה יומיים לפני תום תקופת שמונת החודשים לגישת המשיב, </w:t>
      </w:r>
      <w:r w:rsidR="00847D6E">
        <w:rPr>
          <w:rFonts w:ascii="Arial" w:hAnsi="Arial" w:hint="cs"/>
          <w:noProof w:val="0"/>
          <w:rtl/>
        </w:rPr>
        <w:t xml:space="preserve">להתבטל </w:t>
      </w:r>
      <w:r>
        <w:rPr>
          <w:rFonts w:ascii="Arial" w:hAnsi="Arial"/>
          <w:noProof w:val="0"/>
          <w:rtl/>
        </w:rPr>
        <w:t xml:space="preserve">עקב הפגמים שנפלו בה, </w:t>
      </w:r>
      <w:r w:rsidR="007E0ECB">
        <w:rPr>
          <w:rFonts w:ascii="Arial" w:hAnsi="Arial" w:hint="cs"/>
          <w:noProof w:val="0"/>
          <w:rtl/>
        </w:rPr>
        <w:t xml:space="preserve">מאחר וניתנה </w:t>
      </w:r>
      <w:r>
        <w:rPr>
          <w:rFonts w:ascii="Arial" w:hAnsi="Arial"/>
          <w:noProof w:val="0"/>
          <w:rtl/>
        </w:rPr>
        <w:t>ללא כל נימוק, או הסבר ראוי וללא התייחסות ל"תנאים המיוחדים" כלשון סעיף 87(ד) לחוק.</w:t>
      </w:r>
    </w:p>
    <w:p w:rsidR="006D68C9" w:rsidRPr="007E0ECB" w:rsidRDefault="007E0ECB" w:rsidP="007E0ECB">
      <w:pPr>
        <w:spacing w:line="360" w:lineRule="auto"/>
        <w:ind w:left="720"/>
        <w:jc w:val="both"/>
        <w:rPr>
          <w:rFonts w:ascii="Arial" w:hAnsi="Arial"/>
          <w:noProof w:val="0"/>
        </w:rPr>
      </w:pPr>
      <w:r>
        <w:rPr>
          <w:rFonts w:ascii="Arial" w:hAnsi="Arial" w:hint="cs"/>
          <w:noProof w:val="0"/>
          <w:rtl/>
        </w:rPr>
        <w:t>ל</w:t>
      </w:r>
      <w:r w:rsidR="006D68C9" w:rsidRPr="007E0ECB">
        <w:rPr>
          <w:rFonts w:ascii="Arial" w:hAnsi="Arial"/>
          <w:noProof w:val="0"/>
          <w:rtl/>
        </w:rPr>
        <w:t>טענת העורר, השאלה שעומדת בבסיס ההשגה הינה האם ה</w:t>
      </w:r>
      <w:r>
        <w:rPr>
          <w:rFonts w:ascii="Arial" w:hAnsi="Arial" w:hint="cs"/>
          <w:noProof w:val="0"/>
          <w:rtl/>
        </w:rPr>
        <w:t>נכס</w:t>
      </w:r>
      <w:r w:rsidR="006D68C9" w:rsidRPr="007E0ECB">
        <w:rPr>
          <w:rFonts w:ascii="Arial" w:hAnsi="Arial"/>
          <w:noProof w:val="0"/>
          <w:rtl/>
        </w:rPr>
        <w:t xml:space="preserve"> מהווה דירת מגורים מזכה כמשמעותה בחוק ובפסיקה, ומשרדי מיסוי מקרקעין עסקו בסוגיות אלו במקרים רבים מאד. לטענתו, אף אם תתקבל טענת המשיב כי מדובר בסוגיה מורכבת בעלת השלכות רוחב, המשיב לא </w:t>
      </w:r>
      <w:r>
        <w:rPr>
          <w:rFonts w:ascii="Arial" w:hAnsi="Arial" w:hint="cs"/>
          <w:noProof w:val="0"/>
          <w:rtl/>
        </w:rPr>
        <w:t xml:space="preserve">האריך את המועד </w:t>
      </w:r>
      <w:r w:rsidR="006D68C9" w:rsidRPr="007E0ECB">
        <w:rPr>
          <w:rFonts w:ascii="Arial" w:hAnsi="Arial"/>
          <w:noProof w:val="0"/>
          <w:rtl/>
        </w:rPr>
        <w:t>בצורה מסודרת בשלב מוקדם יותר</w:t>
      </w:r>
      <w:r>
        <w:rPr>
          <w:rFonts w:ascii="Arial" w:hAnsi="Arial" w:hint="cs"/>
          <w:noProof w:val="0"/>
          <w:rtl/>
        </w:rPr>
        <w:t>,</w:t>
      </w:r>
      <w:r w:rsidR="006D68C9" w:rsidRPr="007E0ECB">
        <w:rPr>
          <w:rFonts w:ascii="Arial" w:hAnsi="Arial"/>
          <w:noProof w:val="0"/>
          <w:rtl/>
        </w:rPr>
        <w:t xml:space="preserve"> תוך יידוע העורר וב"כ. </w:t>
      </w:r>
    </w:p>
    <w:p w:rsidR="006D68C9" w:rsidRPr="007E0ECB" w:rsidRDefault="006D68C9" w:rsidP="006D68C9">
      <w:pPr>
        <w:pStyle w:val="ae"/>
        <w:spacing w:line="360" w:lineRule="auto"/>
        <w:jc w:val="both"/>
        <w:rPr>
          <w:rFonts w:ascii="Arial" w:hAnsi="Arial"/>
          <w:noProof w:val="0"/>
        </w:rPr>
      </w:pPr>
    </w:p>
    <w:p w:rsidR="006D68C9" w:rsidRDefault="006D68C9" w:rsidP="007E0ECB">
      <w:pPr>
        <w:pStyle w:val="ae"/>
        <w:numPr>
          <w:ilvl w:val="0"/>
          <w:numId w:val="1"/>
        </w:numPr>
        <w:spacing w:line="360" w:lineRule="auto"/>
        <w:jc w:val="both"/>
        <w:rPr>
          <w:rFonts w:ascii="Arial" w:hAnsi="Arial"/>
          <w:noProof w:val="0"/>
        </w:rPr>
      </w:pPr>
      <w:r>
        <w:rPr>
          <w:rFonts w:ascii="Arial" w:hAnsi="Arial"/>
          <w:noProof w:val="0"/>
          <w:rtl/>
        </w:rPr>
        <w:t xml:space="preserve">לטענת העורר, לפי הוראות סעיף 111 לחוק, הסמכות להאריך את התקופה למתן </w:t>
      </w:r>
      <w:r w:rsidR="007E0ECB">
        <w:rPr>
          <w:rFonts w:ascii="Arial" w:hAnsi="Arial" w:hint="cs"/>
          <w:noProof w:val="0"/>
          <w:rtl/>
        </w:rPr>
        <w:t xml:space="preserve">החלטה </w:t>
      </w:r>
      <w:r>
        <w:rPr>
          <w:rFonts w:ascii="Arial" w:hAnsi="Arial"/>
          <w:noProof w:val="0"/>
          <w:rtl/>
        </w:rPr>
        <w:t>בהשגה נתונה באופן בלעדי למנהל</w:t>
      </w:r>
      <w:r w:rsidR="007E0ECB">
        <w:rPr>
          <w:rFonts w:ascii="Arial" w:hAnsi="Arial" w:hint="cs"/>
          <w:noProof w:val="0"/>
          <w:rtl/>
        </w:rPr>
        <w:t>,</w:t>
      </w:r>
      <w:r>
        <w:rPr>
          <w:rFonts w:ascii="Arial" w:hAnsi="Arial"/>
          <w:noProof w:val="0"/>
          <w:rtl/>
        </w:rPr>
        <w:t xml:space="preserve"> </w:t>
      </w:r>
      <w:r w:rsidR="007E0ECB">
        <w:rPr>
          <w:rFonts w:ascii="Arial" w:hAnsi="Arial" w:hint="cs"/>
          <w:noProof w:val="0"/>
          <w:rtl/>
        </w:rPr>
        <w:t>אולם</w:t>
      </w:r>
      <w:r>
        <w:rPr>
          <w:rFonts w:ascii="Arial" w:hAnsi="Arial"/>
          <w:noProof w:val="0"/>
          <w:rtl/>
        </w:rPr>
        <w:t xml:space="preserve"> המנהל אינו חתום על הודעת המשיב להארכת </w:t>
      </w:r>
      <w:r w:rsidR="007E0ECB">
        <w:rPr>
          <w:rFonts w:ascii="Arial" w:hAnsi="Arial" w:hint="cs"/>
          <w:noProof w:val="0"/>
          <w:rtl/>
        </w:rPr>
        <w:t>ה</w:t>
      </w:r>
      <w:r>
        <w:rPr>
          <w:rFonts w:ascii="Arial" w:hAnsi="Arial"/>
          <w:noProof w:val="0"/>
          <w:rtl/>
        </w:rPr>
        <w:t xml:space="preserve">מועד מיום 26.2.2020, ורק בדיעבד, לאחר פניות בא כוח העורר, נטען שסגן המנהל אישר </w:t>
      </w:r>
      <w:r w:rsidR="00C66E4D">
        <w:rPr>
          <w:rFonts w:ascii="Arial" w:hAnsi="Arial" w:hint="cs"/>
          <w:noProof w:val="0"/>
          <w:rtl/>
        </w:rPr>
        <w:t xml:space="preserve">את </w:t>
      </w:r>
      <w:r>
        <w:rPr>
          <w:rFonts w:ascii="Arial" w:hAnsi="Arial"/>
          <w:noProof w:val="0"/>
          <w:rtl/>
        </w:rPr>
        <w:t>הארכת המועד המבוקשת.</w:t>
      </w:r>
    </w:p>
    <w:p w:rsidR="006D68C9" w:rsidRPr="00C66E4D" w:rsidRDefault="006D68C9" w:rsidP="006D68C9">
      <w:pPr>
        <w:pStyle w:val="ae"/>
        <w:spacing w:line="360" w:lineRule="auto"/>
        <w:jc w:val="both"/>
        <w:rPr>
          <w:rFonts w:ascii="Arial" w:hAnsi="Arial"/>
          <w:noProof w:val="0"/>
        </w:rPr>
      </w:pPr>
    </w:p>
    <w:p w:rsidR="006D68C9" w:rsidRDefault="006D68C9" w:rsidP="00C66E4D">
      <w:pPr>
        <w:pStyle w:val="ae"/>
        <w:numPr>
          <w:ilvl w:val="0"/>
          <w:numId w:val="1"/>
        </w:numPr>
        <w:spacing w:line="360" w:lineRule="auto"/>
        <w:jc w:val="both"/>
        <w:rPr>
          <w:rFonts w:ascii="Arial" w:hAnsi="Arial"/>
          <w:noProof w:val="0"/>
        </w:rPr>
      </w:pPr>
      <w:r>
        <w:rPr>
          <w:rFonts w:ascii="Arial" w:hAnsi="Arial"/>
          <w:noProof w:val="0"/>
          <w:rtl/>
        </w:rPr>
        <w:lastRenderedPageBreak/>
        <w:t>לטענת העורר, המשיב לא נימק ולא הציג לעורר את "המידע" והנימוקים בבס</w:t>
      </w:r>
      <w:r w:rsidR="00C66E4D">
        <w:rPr>
          <w:rFonts w:ascii="Arial" w:hAnsi="Arial"/>
          <w:noProof w:val="0"/>
          <w:rtl/>
        </w:rPr>
        <w:t xml:space="preserve">יס החלטתו להאריך את המועד למתן </w:t>
      </w:r>
      <w:r w:rsidR="00C66E4D">
        <w:rPr>
          <w:rFonts w:ascii="Arial" w:hAnsi="Arial" w:hint="cs"/>
          <w:noProof w:val="0"/>
          <w:rtl/>
        </w:rPr>
        <w:t xml:space="preserve">החלטה </w:t>
      </w:r>
      <w:r>
        <w:rPr>
          <w:rFonts w:ascii="Arial" w:hAnsi="Arial"/>
          <w:noProof w:val="0"/>
          <w:rtl/>
        </w:rPr>
        <w:t>בהשגה. החלטת המשיב סתמי</w:t>
      </w:r>
      <w:r w:rsidR="00C66E4D">
        <w:rPr>
          <w:rFonts w:ascii="Arial" w:hAnsi="Arial" w:hint="cs"/>
          <w:noProof w:val="0"/>
          <w:rtl/>
        </w:rPr>
        <w:t>ת</w:t>
      </w:r>
      <w:r>
        <w:rPr>
          <w:rFonts w:ascii="Arial" w:hAnsi="Arial"/>
          <w:noProof w:val="0"/>
          <w:rtl/>
        </w:rPr>
        <w:t xml:space="preserve"> ולא מנומקת, סותרת את כללי המנהל התקין, והדבר מנע מהעורר אפשרות מהותית לערור על ההחלטה כראוי ולרדת לשורשם של דברים. </w:t>
      </w:r>
      <w:r w:rsidR="00C66E4D">
        <w:rPr>
          <w:rFonts w:ascii="Arial" w:hAnsi="Arial" w:hint="cs"/>
          <w:noProof w:val="0"/>
          <w:rtl/>
        </w:rPr>
        <w:t xml:space="preserve">העורר </w:t>
      </w:r>
      <w:r>
        <w:rPr>
          <w:rFonts w:ascii="Arial" w:hAnsi="Arial"/>
          <w:noProof w:val="0"/>
          <w:rtl/>
        </w:rPr>
        <w:t xml:space="preserve">טען כי העדר הצגת טעמים מיוחדים ונימוקים בבסיס דחיית </w:t>
      </w:r>
      <w:r w:rsidR="00C66E4D">
        <w:rPr>
          <w:rFonts w:ascii="Arial" w:hAnsi="Arial" w:hint="cs"/>
          <w:noProof w:val="0"/>
          <w:rtl/>
        </w:rPr>
        <w:t>ה</w:t>
      </w:r>
      <w:r>
        <w:rPr>
          <w:rFonts w:ascii="Arial" w:hAnsi="Arial"/>
          <w:noProof w:val="0"/>
          <w:rtl/>
        </w:rPr>
        <w:t xml:space="preserve">מועד </w:t>
      </w:r>
      <w:r w:rsidR="00C66E4D">
        <w:rPr>
          <w:rFonts w:ascii="Arial" w:hAnsi="Arial" w:hint="cs"/>
          <w:noProof w:val="0"/>
          <w:rtl/>
        </w:rPr>
        <w:t>ל</w:t>
      </w:r>
      <w:r>
        <w:rPr>
          <w:rFonts w:ascii="Arial" w:hAnsi="Arial"/>
          <w:noProof w:val="0"/>
          <w:rtl/>
        </w:rPr>
        <w:t xml:space="preserve">מתן </w:t>
      </w:r>
      <w:r w:rsidR="00C66E4D">
        <w:rPr>
          <w:rFonts w:ascii="Arial" w:hAnsi="Arial" w:hint="cs"/>
          <w:noProof w:val="0"/>
          <w:rtl/>
        </w:rPr>
        <w:t xml:space="preserve">החלטה </w:t>
      </w:r>
      <w:r>
        <w:rPr>
          <w:rFonts w:ascii="Arial" w:hAnsi="Arial"/>
          <w:noProof w:val="0"/>
          <w:rtl/>
        </w:rPr>
        <w:t>בהשגה, הינ</w:t>
      </w:r>
      <w:r w:rsidR="00C66E4D">
        <w:rPr>
          <w:rFonts w:ascii="Arial" w:hAnsi="Arial" w:hint="cs"/>
          <w:noProof w:val="0"/>
          <w:rtl/>
        </w:rPr>
        <w:t>ו</w:t>
      </w:r>
      <w:r>
        <w:rPr>
          <w:rFonts w:ascii="Arial" w:hAnsi="Arial"/>
          <w:noProof w:val="0"/>
          <w:rtl/>
        </w:rPr>
        <w:t xml:space="preserve"> פגם היורד לשורש ההחלטה </w:t>
      </w:r>
      <w:r w:rsidR="00C66E4D">
        <w:rPr>
          <w:rFonts w:ascii="Arial" w:hAnsi="Arial" w:hint="cs"/>
          <w:noProof w:val="0"/>
          <w:rtl/>
        </w:rPr>
        <w:t>המביא ל</w:t>
      </w:r>
      <w:r>
        <w:rPr>
          <w:rFonts w:ascii="Arial" w:hAnsi="Arial"/>
          <w:noProof w:val="0"/>
          <w:rtl/>
        </w:rPr>
        <w:t>בטלותה.</w:t>
      </w:r>
    </w:p>
    <w:p w:rsidR="006D68C9" w:rsidRPr="00C66E4D" w:rsidRDefault="006D68C9" w:rsidP="006D68C9">
      <w:pPr>
        <w:pStyle w:val="ae"/>
        <w:spacing w:line="360" w:lineRule="auto"/>
        <w:jc w:val="both"/>
        <w:rPr>
          <w:rFonts w:ascii="Arial" w:hAnsi="Arial"/>
          <w:noProof w:val="0"/>
        </w:rPr>
      </w:pPr>
    </w:p>
    <w:p w:rsidR="006D68C9" w:rsidRDefault="006D68C9" w:rsidP="00C66E4D">
      <w:pPr>
        <w:spacing w:line="360" w:lineRule="auto"/>
        <w:jc w:val="both"/>
        <w:rPr>
          <w:rFonts w:ascii="Arial" w:hAnsi="Arial"/>
          <w:noProof w:val="0"/>
          <w:u w:val="single"/>
          <w:rtl/>
        </w:rPr>
      </w:pPr>
      <w:r>
        <w:rPr>
          <w:rFonts w:ascii="Arial" w:hAnsi="Arial"/>
          <w:noProof w:val="0"/>
          <w:u w:val="single"/>
          <w:rtl/>
        </w:rPr>
        <w:t>טענות המשיב</w:t>
      </w:r>
    </w:p>
    <w:p w:rsidR="006D68C9" w:rsidRDefault="006D68C9" w:rsidP="006D68C9">
      <w:pPr>
        <w:pStyle w:val="ae"/>
        <w:numPr>
          <w:ilvl w:val="0"/>
          <w:numId w:val="1"/>
        </w:numPr>
        <w:spacing w:line="360" w:lineRule="auto"/>
        <w:jc w:val="both"/>
        <w:rPr>
          <w:rFonts w:ascii="Arial" w:hAnsi="Arial"/>
          <w:noProof w:val="0"/>
          <w:rtl/>
        </w:rPr>
      </w:pPr>
      <w:r>
        <w:rPr>
          <w:rFonts w:ascii="Arial" w:hAnsi="Arial"/>
          <w:noProof w:val="0"/>
          <w:rtl/>
        </w:rPr>
        <w:t>לטענת המשיב, המקרקעין לא עונים להגדרת "דירת מגורים" והעורר לא זכאי לחישוב לינ</w:t>
      </w:r>
      <w:r w:rsidR="00C66E4D">
        <w:rPr>
          <w:rFonts w:ascii="Arial" w:hAnsi="Arial" w:hint="cs"/>
          <w:noProof w:val="0"/>
          <w:rtl/>
        </w:rPr>
        <w:t>י</w:t>
      </w:r>
      <w:r>
        <w:rPr>
          <w:rFonts w:ascii="Arial" w:hAnsi="Arial"/>
          <w:noProof w:val="0"/>
          <w:rtl/>
        </w:rPr>
        <w:t>ארי מוטב לפי סעיף 48א(ב2) לחוק. זאת</w:t>
      </w:r>
      <w:r w:rsidR="00C66E4D">
        <w:rPr>
          <w:rFonts w:ascii="Arial" w:hAnsi="Arial" w:hint="cs"/>
          <w:noProof w:val="0"/>
          <w:rtl/>
        </w:rPr>
        <w:t>,</w:t>
      </w:r>
      <w:r>
        <w:rPr>
          <w:rFonts w:ascii="Arial" w:hAnsi="Arial"/>
          <w:noProof w:val="0"/>
          <w:rtl/>
        </w:rPr>
        <w:t xml:space="preserve"> בין היתר, בשל מצבו הרעוע של המבנה שבנוי על המקרקעין, שאין בו מתקנים בסיסיים שאמורים להיות בדירת מגורים, אין בו חשמל ומים, חלקו שרוף וחלק הרוס כליל ללא קורת גג; וכן על </w:t>
      </w:r>
      <w:r w:rsidR="00693F73">
        <w:rPr>
          <w:rFonts w:ascii="Arial" w:hAnsi="Arial"/>
          <w:noProof w:val="0"/>
          <w:rtl/>
        </w:rPr>
        <w:t>בסיס הממצאים של חוות הדעת השמאי</w:t>
      </w:r>
      <w:r>
        <w:rPr>
          <w:rFonts w:ascii="Arial" w:hAnsi="Arial"/>
          <w:noProof w:val="0"/>
          <w:rtl/>
        </w:rPr>
        <w:t xml:space="preserve"> מטעם המשיב, לפיה</w:t>
      </w:r>
      <w:r w:rsidR="00C66E4D">
        <w:rPr>
          <w:rFonts w:ascii="Arial" w:hAnsi="Arial" w:hint="cs"/>
          <w:noProof w:val="0"/>
          <w:rtl/>
        </w:rPr>
        <w:t>ם</w:t>
      </w:r>
      <w:r>
        <w:rPr>
          <w:rFonts w:ascii="Arial" w:hAnsi="Arial"/>
          <w:noProof w:val="0"/>
          <w:rtl/>
        </w:rPr>
        <w:t xml:space="preserve"> למבנה אין ערך כלכלי וכי שווי העסקה אינו מושפע משוויו של המבנה.</w:t>
      </w:r>
    </w:p>
    <w:p w:rsidR="006D68C9"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לטענת המשיב, יום הרכישה הקובע הוא המועד שבו נכרת ההסכם בין הצדדים, ביום 24.3.1994, ושווי הרכישה הוא שווי המקרקעין במועד זה- ואין בהסכם הפשרה כדי לשנות ממסקנה זו.</w:t>
      </w:r>
    </w:p>
    <w:p w:rsidR="006D68C9" w:rsidRDefault="006D68C9" w:rsidP="006D68C9">
      <w:pPr>
        <w:pStyle w:val="ae"/>
        <w:spacing w:line="360" w:lineRule="auto"/>
        <w:jc w:val="both"/>
        <w:rPr>
          <w:rFonts w:ascii="Arial" w:hAnsi="Arial"/>
          <w:noProof w:val="0"/>
        </w:rPr>
      </w:pPr>
    </w:p>
    <w:p w:rsidR="006D68C9" w:rsidRDefault="006D68C9" w:rsidP="006D68C9">
      <w:pPr>
        <w:pStyle w:val="ae"/>
        <w:numPr>
          <w:ilvl w:val="0"/>
          <w:numId w:val="1"/>
        </w:numPr>
        <w:spacing w:line="360" w:lineRule="auto"/>
        <w:jc w:val="both"/>
        <w:rPr>
          <w:rFonts w:ascii="Arial" w:hAnsi="Arial"/>
          <w:noProof w:val="0"/>
        </w:rPr>
      </w:pPr>
      <w:r>
        <w:rPr>
          <w:rFonts w:ascii="Arial" w:hAnsi="Arial"/>
          <w:noProof w:val="0"/>
          <w:rtl/>
        </w:rPr>
        <w:t>לטענת המשיב, העורר לא הרים את הנטל הרובץ לפתחו להוכחת עבודה עצמית לצורך השבחת המקרקעין וממילא לא הובאו ראיות להוכחת שוויה, משכך אין להתיר הוצאה זו בניכוי מהשבח.</w:t>
      </w:r>
    </w:p>
    <w:p w:rsidR="006D68C9" w:rsidRDefault="006D68C9" w:rsidP="006D68C9">
      <w:pPr>
        <w:pStyle w:val="ae"/>
        <w:spacing w:line="360" w:lineRule="auto"/>
        <w:jc w:val="both"/>
        <w:rPr>
          <w:rFonts w:ascii="Arial" w:hAnsi="Arial"/>
          <w:noProof w:val="0"/>
        </w:rPr>
      </w:pPr>
    </w:p>
    <w:p w:rsidR="006D68C9" w:rsidRPr="005B62EA" w:rsidRDefault="006D68C9" w:rsidP="00B9024D">
      <w:pPr>
        <w:pStyle w:val="ae"/>
        <w:numPr>
          <w:ilvl w:val="0"/>
          <w:numId w:val="1"/>
        </w:numPr>
        <w:spacing w:line="360" w:lineRule="auto"/>
        <w:jc w:val="both"/>
        <w:rPr>
          <w:rFonts w:ascii="Arial" w:hAnsi="Arial"/>
          <w:noProof w:val="0"/>
        </w:rPr>
      </w:pPr>
      <w:r w:rsidRPr="005B62EA">
        <w:rPr>
          <w:rFonts w:ascii="Arial" w:hAnsi="Arial"/>
          <w:noProof w:val="0"/>
          <w:rtl/>
        </w:rPr>
        <w:t xml:space="preserve">לטענת המשיב, בהתאם להוראות סעיף 87(ד) לחוק, המנהל רשאי להאריך את המועד למתן </w:t>
      </w:r>
      <w:r w:rsidR="005B62EA" w:rsidRPr="005B62EA">
        <w:rPr>
          <w:rFonts w:ascii="Arial" w:hAnsi="Arial" w:hint="cs"/>
          <w:noProof w:val="0"/>
          <w:rtl/>
        </w:rPr>
        <w:t>החלטה</w:t>
      </w:r>
      <w:r w:rsidRPr="005B62EA">
        <w:rPr>
          <w:rFonts w:ascii="Arial" w:hAnsi="Arial"/>
          <w:noProof w:val="0"/>
          <w:rtl/>
        </w:rPr>
        <w:t xml:space="preserve"> בהשגה מטעמים מיוחדים שבמקרה דנא התקיימו. כך</w:t>
      </w:r>
      <w:r w:rsidR="005B62EA" w:rsidRPr="005B62EA">
        <w:rPr>
          <w:rFonts w:ascii="Arial" w:hAnsi="Arial" w:hint="cs"/>
          <w:noProof w:val="0"/>
          <w:rtl/>
        </w:rPr>
        <w:t>,</w:t>
      </w:r>
      <w:r w:rsidRPr="005B62EA">
        <w:rPr>
          <w:rFonts w:ascii="Arial" w:hAnsi="Arial"/>
          <w:noProof w:val="0"/>
          <w:rtl/>
        </w:rPr>
        <w:t xml:space="preserve"> לטענת המשיב, הערר הוגש בחוסר תום לב של העורר, תוך העלאת טענות אשר סותרות את העובדות שאירעו בפועל. לטענת המשיב, ביום 16.3.2020 נשלח לעורר מייל המפרט את הטעמים המיוחדים בגינם נתבקשה הארכת המועד למתן </w:t>
      </w:r>
      <w:r w:rsidR="005B62EA" w:rsidRPr="005B62EA">
        <w:rPr>
          <w:rFonts w:ascii="Arial" w:hAnsi="Arial" w:hint="cs"/>
          <w:noProof w:val="0"/>
          <w:rtl/>
        </w:rPr>
        <w:t>ההחלטה</w:t>
      </w:r>
      <w:r w:rsidRPr="005B62EA">
        <w:rPr>
          <w:rFonts w:ascii="Arial" w:hAnsi="Arial"/>
          <w:noProof w:val="0"/>
          <w:rtl/>
        </w:rPr>
        <w:t xml:space="preserve"> בהשגה. נכתב במפורש שהטעמים הם מורכבות הסוגיה והשלכות הרוחב שלה על תיקים נוספים. טעמים מיוחדים אלו הוכרו בפסיקה כמתיישבים עם דרישות החוק כך שלטענת המשיב, דרישת הטעמים המיוחדים התקיימה.</w:t>
      </w:r>
    </w:p>
    <w:p w:rsidR="006D68C9" w:rsidRDefault="006D68C9" w:rsidP="006D68C9">
      <w:pPr>
        <w:spacing w:line="360" w:lineRule="auto"/>
        <w:jc w:val="both"/>
        <w:rPr>
          <w:rFonts w:ascii="Arial" w:hAnsi="Arial"/>
          <w:noProof w:val="0"/>
        </w:rPr>
      </w:pPr>
    </w:p>
    <w:p w:rsidR="006D68C9" w:rsidRDefault="006D68C9" w:rsidP="006D68C9">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6D68C9" w:rsidRDefault="006D68C9" w:rsidP="006D68C9">
      <w:pPr>
        <w:pStyle w:val="ae"/>
        <w:numPr>
          <w:ilvl w:val="0"/>
          <w:numId w:val="1"/>
        </w:numPr>
        <w:spacing w:line="360" w:lineRule="auto"/>
        <w:jc w:val="both"/>
        <w:rPr>
          <w:rFonts w:ascii="Arial" w:hAnsi="Arial"/>
          <w:noProof w:val="0"/>
          <w:rtl/>
        </w:rPr>
      </w:pPr>
      <w:r>
        <w:rPr>
          <w:rFonts w:ascii="Arial" w:hAnsi="Arial"/>
          <w:noProof w:val="0"/>
          <w:rtl/>
        </w:rPr>
        <w:lastRenderedPageBreak/>
        <w:t>במוקד</w:t>
      </w:r>
      <w:r w:rsidR="005B62EA">
        <w:rPr>
          <w:rFonts w:ascii="Arial" w:hAnsi="Arial" w:hint="cs"/>
          <w:noProof w:val="0"/>
          <w:rtl/>
        </w:rPr>
        <w:t xml:space="preserve"> שני</w:t>
      </w:r>
      <w:r>
        <w:rPr>
          <w:rFonts w:ascii="Arial" w:hAnsi="Arial"/>
          <w:noProof w:val="0"/>
          <w:rtl/>
        </w:rPr>
        <w:t xml:space="preserve"> הערר</w:t>
      </w:r>
      <w:r w:rsidR="005B62EA">
        <w:rPr>
          <w:rFonts w:ascii="Arial" w:hAnsi="Arial" w:hint="cs"/>
          <w:noProof w:val="0"/>
          <w:rtl/>
        </w:rPr>
        <w:t>ים</w:t>
      </w:r>
      <w:r>
        <w:rPr>
          <w:rFonts w:ascii="Arial" w:hAnsi="Arial"/>
          <w:noProof w:val="0"/>
          <w:rtl/>
        </w:rPr>
        <w:t xml:space="preserve"> ארבע סוגיות מרכזיות: </w:t>
      </w:r>
    </w:p>
    <w:p w:rsidR="006D68C9" w:rsidRDefault="006D68C9" w:rsidP="006D68C9">
      <w:pPr>
        <w:pStyle w:val="ae"/>
        <w:numPr>
          <w:ilvl w:val="0"/>
          <w:numId w:val="2"/>
        </w:numPr>
        <w:spacing w:line="360" w:lineRule="auto"/>
        <w:ind w:left="927"/>
        <w:jc w:val="both"/>
        <w:rPr>
          <w:rFonts w:ascii="Arial" w:hAnsi="Arial"/>
          <w:noProof w:val="0"/>
        </w:rPr>
      </w:pPr>
      <w:r>
        <w:rPr>
          <w:rFonts w:ascii="Arial" w:hAnsi="Arial"/>
          <w:noProof w:val="0"/>
          <w:rtl/>
        </w:rPr>
        <w:t>האם המקרקעין עונים להגדרת "דירת מגורים מזכה" לצורך חישוב לינ</w:t>
      </w:r>
      <w:r w:rsidR="005B62EA">
        <w:rPr>
          <w:rFonts w:ascii="Arial" w:hAnsi="Arial" w:hint="cs"/>
          <w:noProof w:val="0"/>
          <w:rtl/>
        </w:rPr>
        <w:t>י</w:t>
      </w:r>
      <w:r>
        <w:rPr>
          <w:rFonts w:ascii="Arial" w:hAnsi="Arial"/>
          <w:noProof w:val="0"/>
          <w:rtl/>
        </w:rPr>
        <w:t>ארי מוטב לפי סעיף 48א(ב2) לחוק.</w:t>
      </w:r>
    </w:p>
    <w:p w:rsidR="006D68C9" w:rsidRDefault="006D68C9" w:rsidP="006D68C9">
      <w:pPr>
        <w:pStyle w:val="ae"/>
        <w:numPr>
          <w:ilvl w:val="0"/>
          <w:numId w:val="2"/>
        </w:numPr>
        <w:spacing w:line="360" w:lineRule="auto"/>
        <w:ind w:left="927"/>
        <w:jc w:val="both"/>
        <w:rPr>
          <w:rFonts w:ascii="Arial" w:hAnsi="Arial"/>
          <w:noProof w:val="0"/>
        </w:rPr>
      </w:pPr>
      <w:r>
        <w:rPr>
          <w:rFonts w:ascii="Arial" w:hAnsi="Arial"/>
          <w:noProof w:val="0"/>
          <w:rtl/>
        </w:rPr>
        <w:t>מהו מועד הרכישה של הזכויות במקרקעין והאם יש בהסכם הפשרה שנחתם כדי לשנותו.</w:t>
      </w:r>
    </w:p>
    <w:p w:rsidR="006D68C9" w:rsidRDefault="006D68C9" w:rsidP="006D68C9">
      <w:pPr>
        <w:pStyle w:val="ae"/>
        <w:numPr>
          <w:ilvl w:val="0"/>
          <w:numId w:val="2"/>
        </w:numPr>
        <w:spacing w:line="360" w:lineRule="auto"/>
        <w:ind w:left="927"/>
        <w:jc w:val="both"/>
        <w:rPr>
          <w:rFonts w:ascii="Arial" w:hAnsi="Arial"/>
          <w:noProof w:val="0"/>
        </w:rPr>
      </w:pPr>
      <w:r>
        <w:rPr>
          <w:rFonts w:ascii="Arial" w:hAnsi="Arial"/>
          <w:noProof w:val="0"/>
          <w:rtl/>
        </w:rPr>
        <w:t xml:space="preserve">האם העורר הוכיח שביצע עבודה עצמית לצורך השבח במקרקעין והאם הוכחה שוויה המוערך של עבודה זו, באופן שניתן להתירה בניכוי מהשבח לפי סעיף 39(1) לחוק. </w:t>
      </w:r>
    </w:p>
    <w:p w:rsidR="006D68C9" w:rsidRDefault="006D68C9" w:rsidP="005B62EA">
      <w:pPr>
        <w:pStyle w:val="ae"/>
        <w:numPr>
          <w:ilvl w:val="0"/>
          <w:numId w:val="2"/>
        </w:numPr>
        <w:spacing w:line="360" w:lineRule="auto"/>
        <w:ind w:left="927"/>
        <w:jc w:val="both"/>
        <w:rPr>
          <w:rFonts w:ascii="Arial" w:hAnsi="Arial"/>
          <w:noProof w:val="0"/>
        </w:rPr>
      </w:pPr>
      <w:r>
        <w:rPr>
          <w:rFonts w:ascii="Arial" w:hAnsi="Arial"/>
          <w:noProof w:val="0"/>
          <w:rtl/>
        </w:rPr>
        <w:t xml:space="preserve">האם המשיב פעל בגדר סמכותו עת החליט להאריך את המועד למתן </w:t>
      </w:r>
      <w:r w:rsidR="005B62EA">
        <w:rPr>
          <w:rFonts w:ascii="Arial" w:hAnsi="Arial" w:hint="cs"/>
          <w:noProof w:val="0"/>
          <w:rtl/>
        </w:rPr>
        <w:t>החלטה</w:t>
      </w:r>
      <w:r>
        <w:rPr>
          <w:rFonts w:ascii="Arial" w:hAnsi="Arial"/>
          <w:noProof w:val="0"/>
          <w:rtl/>
        </w:rPr>
        <w:t xml:space="preserve"> בהשגה בארבעה חודשים נוספים.</w:t>
      </w:r>
    </w:p>
    <w:p w:rsidR="006D68C9" w:rsidRDefault="006D68C9" w:rsidP="006D68C9">
      <w:pPr>
        <w:spacing w:line="360" w:lineRule="auto"/>
        <w:jc w:val="both"/>
        <w:rPr>
          <w:rFonts w:ascii="Arial" w:hAnsi="Arial"/>
          <w:noProof w:val="0"/>
          <w:rtl/>
        </w:rPr>
      </w:pPr>
    </w:p>
    <w:p w:rsidR="006D68C9" w:rsidRDefault="006D68C9" w:rsidP="006D68C9">
      <w:pPr>
        <w:spacing w:line="360" w:lineRule="auto"/>
        <w:ind w:left="720"/>
        <w:jc w:val="both"/>
        <w:rPr>
          <w:rFonts w:ascii="Arial" w:hAnsi="Arial"/>
          <w:noProof w:val="0"/>
          <w:rtl/>
        </w:rPr>
      </w:pPr>
      <w:r>
        <w:rPr>
          <w:rFonts w:ascii="Arial" w:hAnsi="Arial"/>
          <w:noProof w:val="0"/>
          <w:rtl/>
        </w:rPr>
        <w:t>הדיון להלן יעשה בהתייחס לסוגיות אלו בהתאמה.</w:t>
      </w:r>
    </w:p>
    <w:p w:rsidR="006D68C9" w:rsidRDefault="006D68C9" w:rsidP="006D68C9">
      <w:pPr>
        <w:spacing w:line="360" w:lineRule="auto"/>
        <w:ind w:left="720"/>
        <w:jc w:val="both"/>
        <w:rPr>
          <w:rFonts w:ascii="Arial" w:hAnsi="Arial"/>
          <w:noProof w:val="0"/>
          <w:rtl/>
        </w:rPr>
      </w:pPr>
    </w:p>
    <w:p w:rsidR="006D68C9" w:rsidRDefault="006D68C9" w:rsidP="006D68C9">
      <w:pPr>
        <w:spacing w:line="360" w:lineRule="auto"/>
        <w:jc w:val="both"/>
        <w:rPr>
          <w:rFonts w:ascii="Arial" w:hAnsi="Arial"/>
          <w:noProof w:val="0"/>
          <w:u w:val="single"/>
          <w:rtl/>
        </w:rPr>
      </w:pPr>
      <w:r>
        <w:rPr>
          <w:rFonts w:ascii="Arial" w:hAnsi="Arial"/>
          <w:noProof w:val="0"/>
          <w:u w:val="single"/>
          <w:rtl/>
        </w:rPr>
        <w:t xml:space="preserve">האם המקרקעין עונים להגדרת "דירת מגורים" </w:t>
      </w:r>
    </w:p>
    <w:p w:rsidR="006D68C9" w:rsidRDefault="006D68C9" w:rsidP="006D68C9">
      <w:pPr>
        <w:pStyle w:val="ae"/>
        <w:rPr>
          <w:rFonts w:ascii="Arial" w:hAnsi="Arial"/>
          <w:noProof w:val="0"/>
        </w:rPr>
      </w:pPr>
    </w:p>
    <w:p w:rsidR="006D68C9" w:rsidRDefault="00B96768" w:rsidP="006D68C9">
      <w:pPr>
        <w:pStyle w:val="ae"/>
        <w:numPr>
          <w:ilvl w:val="0"/>
          <w:numId w:val="1"/>
        </w:numPr>
        <w:spacing w:line="360" w:lineRule="auto"/>
        <w:jc w:val="both"/>
        <w:rPr>
          <w:rFonts w:ascii="Arial" w:hAnsi="Arial"/>
          <w:noProof w:val="0"/>
          <w:rtl/>
        </w:rPr>
      </w:pPr>
      <w:r>
        <w:rPr>
          <w:rFonts w:ascii="Arial" w:hAnsi="Arial" w:hint="cs"/>
          <w:noProof w:val="0"/>
          <w:rtl/>
        </w:rPr>
        <w:t xml:space="preserve">כאשר נדרשים </w:t>
      </w:r>
      <w:r w:rsidR="005B62EA">
        <w:rPr>
          <w:rFonts w:ascii="Arial" w:hAnsi="Arial" w:hint="cs"/>
          <w:noProof w:val="0"/>
          <w:rtl/>
        </w:rPr>
        <w:t xml:space="preserve">להגדרת המונח "דירת מגורים מזכה", יש לפתוח בבחינה </w:t>
      </w:r>
      <w:r w:rsidR="005B62EA">
        <w:rPr>
          <w:rFonts w:ascii="Arial" w:hAnsi="Arial"/>
          <w:noProof w:val="0"/>
          <w:rtl/>
        </w:rPr>
        <w:t>–</w:t>
      </w:r>
      <w:r w:rsidR="005B62EA">
        <w:rPr>
          <w:rFonts w:ascii="Arial" w:hAnsi="Arial" w:hint="cs"/>
          <w:noProof w:val="0"/>
          <w:rtl/>
        </w:rPr>
        <w:t xml:space="preserve"> האם מדובר בדירת מגורים. </w:t>
      </w:r>
      <w:r w:rsidR="006D68C9">
        <w:rPr>
          <w:rFonts w:ascii="Arial" w:hAnsi="Arial"/>
          <w:noProof w:val="0"/>
          <w:rtl/>
        </w:rPr>
        <w:t>סעיף 1 לחוק מגדיר מהי דירת מגורים:</w:t>
      </w:r>
    </w:p>
    <w:p w:rsidR="006D68C9" w:rsidRDefault="006D68C9" w:rsidP="006D68C9">
      <w:pPr>
        <w:pStyle w:val="ae"/>
        <w:spacing w:line="360" w:lineRule="auto"/>
        <w:jc w:val="both"/>
        <w:rPr>
          <w:rFonts w:ascii="Arial" w:hAnsi="Arial"/>
          <w:noProof w:val="0"/>
        </w:rPr>
      </w:pPr>
    </w:p>
    <w:p w:rsidR="006D68C9" w:rsidRDefault="006D68C9" w:rsidP="006D68C9">
      <w:pPr>
        <w:pStyle w:val="ae"/>
        <w:spacing w:line="360" w:lineRule="auto"/>
        <w:ind w:left="1440"/>
        <w:jc w:val="both"/>
        <w:rPr>
          <w:rFonts w:ascii="Arial" w:hAnsi="Arial"/>
          <w:noProof w:val="0"/>
          <w:rtl/>
        </w:rPr>
      </w:pPr>
      <w:r>
        <w:rPr>
          <w:rFonts w:ascii="Arial" w:hAnsi="Arial"/>
          <w:noProof w:val="0"/>
          <w:rtl/>
        </w:rPr>
        <w:t>"דירת מגורים" – דירה או חלק מדירה, שבנייתה נסתיימה והיא בבעלותו או בחכירתו של יחיד, ומשמשת למגורים או מיועדת למגורים לפי טיבה, למעט דירה המהווה מלאי עסקי לעניין מס הכנסה;".</w:t>
      </w:r>
    </w:p>
    <w:p w:rsidR="006D68C9" w:rsidRDefault="006D68C9" w:rsidP="006D68C9">
      <w:pPr>
        <w:pStyle w:val="ae"/>
        <w:spacing w:line="360" w:lineRule="auto"/>
        <w:ind w:left="1440"/>
        <w:jc w:val="both"/>
        <w:rPr>
          <w:rFonts w:ascii="Arial" w:hAnsi="Arial"/>
          <w:noProof w:val="0"/>
          <w:rtl/>
        </w:rPr>
      </w:pPr>
    </w:p>
    <w:p w:rsidR="006D68C9" w:rsidRDefault="006D68C9" w:rsidP="006D68C9">
      <w:pPr>
        <w:pStyle w:val="ae"/>
        <w:numPr>
          <w:ilvl w:val="0"/>
          <w:numId w:val="1"/>
        </w:numPr>
        <w:spacing w:line="360" w:lineRule="auto"/>
        <w:jc w:val="both"/>
        <w:rPr>
          <w:rFonts w:ascii="David" w:hAnsi="David"/>
          <w:noProof w:val="0"/>
          <w:rtl/>
        </w:rPr>
      </w:pPr>
      <w:r>
        <w:rPr>
          <w:rFonts w:ascii="David" w:hAnsi="David"/>
          <w:rtl/>
        </w:rPr>
        <w:t xml:space="preserve">בע"א 6107/20 </w:t>
      </w:r>
      <w:r>
        <w:rPr>
          <w:rFonts w:ascii="David" w:hAnsi="David"/>
          <w:b/>
          <w:bCs/>
          <w:rtl/>
        </w:rPr>
        <w:t>מנהל מיסוי מקרקעין ת"א נ' נירה מעיין</w:t>
      </w:r>
      <w:r>
        <w:rPr>
          <w:rFonts w:ascii="David" w:hAnsi="David"/>
          <w:rtl/>
        </w:rPr>
        <w:t xml:space="preserve"> (19.7.22) נקבעו הדברים הב</w:t>
      </w:r>
      <w:r w:rsidR="005B62EA">
        <w:rPr>
          <w:rFonts w:ascii="David" w:hAnsi="David"/>
          <w:rtl/>
        </w:rPr>
        <w:t>אים (כב' השופט נ' הנדל, פסקה 7)</w:t>
      </w:r>
      <w:r w:rsidR="005B62EA">
        <w:rPr>
          <w:rFonts w:ascii="David" w:hAnsi="David" w:hint="cs"/>
          <w:rtl/>
        </w:rPr>
        <w:t>:</w:t>
      </w:r>
    </w:p>
    <w:p w:rsidR="006D68C9" w:rsidRDefault="006D68C9" w:rsidP="006D68C9">
      <w:pPr>
        <w:spacing w:line="360" w:lineRule="auto"/>
        <w:jc w:val="both"/>
        <w:rPr>
          <w:rFonts w:ascii="David" w:hAnsi="David"/>
        </w:rPr>
      </w:pPr>
    </w:p>
    <w:p w:rsidR="006D68C9" w:rsidRDefault="006D68C9" w:rsidP="006D68C9">
      <w:pPr>
        <w:spacing w:line="360" w:lineRule="auto"/>
        <w:ind w:left="1440"/>
        <w:jc w:val="both"/>
        <w:rPr>
          <w:rFonts w:ascii="David" w:hAnsi="David"/>
          <w:rtl/>
        </w:rPr>
      </w:pPr>
      <w:r>
        <w:rPr>
          <w:rFonts w:ascii="David" w:hAnsi="David"/>
          <w:rtl/>
        </w:rPr>
        <w:t xml:space="preserve">"דירת מגורים מוגדרת בחוק כדירה המשמשת למגורים או מיועדת למגורים לפי טיבה. הסיפא היא הרלוונטית לענייננו. הצדדים חלוקים בשאלה האם הדירה הייתה מיועדת למגורים לפי טיבה. ראשית, נבהיר כי המועד הקובע לבחינת התקיימותו של תנאי זה, כמו גם יתר התנאים להגדרת הדירה כדירת מגורים, הוא מועד המכירה (ע"א 2170/03 </w:t>
      </w:r>
      <w:r>
        <w:rPr>
          <w:rFonts w:ascii="David" w:hAnsi="David"/>
          <w:b/>
          <w:bCs/>
          <w:rtl/>
        </w:rPr>
        <w:t>שכנר נ' מנהל מס שבח מקרקעין</w:t>
      </w:r>
      <w:r>
        <w:rPr>
          <w:rFonts w:ascii="David" w:hAnsi="David"/>
          <w:rtl/>
        </w:rPr>
        <w:t xml:space="preserve">, פ"ד נט(2) 250, 256 (2004) (להלן: עניין שכנר)). שנית, כפי שטוענים המשיבים, המבחן שנקבע בפסיקה לשאלה האם הדירה מיועדת למגורים לפי טיבה הוא מבחן אובייקטיבי הבודק קיומו של פוטנציאל ממשי למגורי קבע בדירה (שם; </w:t>
      </w:r>
      <w:r>
        <w:rPr>
          <w:rFonts w:ascii="David" w:hAnsi="David"/>
          <w:u w:val="single"/>
          <w:rtl/>
        </w:rPr>
        <w:t>ע"א 1046/12</w:t>
      </w:r>
      <w:r>
        <w:rPr>
          <w:rFonts w:ascii="David" w:hAnsi="David"/>
          <w:rtl/>
        </w:rPr>
        <w:t xml:space="preserve"> </w:t>
      </w:r>
      <w:r>
        <w:rPr>
          <w:rFonts w:ascii="David" w:hAnsi="David"/>
          <w:b/>
          <w:bCs/>
          <w:rtl/>
        </w:rPr>
        <w:t>חכים נ' מנהל מיסוי מקרקעין נתניה</w:t>
      </w:r>
      <w:r>
        <w:rPr>
          <w:rFonts w:ascii="David" w:hAnsi="David"/>
          <w:rtl/>
        </w:rPr>
        <w:t xml:space="preserve">, פס' 30, 32 לפסק דינו של השופט י' עמית (פורסם בנבו), (21.1.2014) </w:t>
      </w:r>
      <w:r>
        <w:rPr>
          <w:rFonts w:ascii="David" w:hAnsi="David"/>
          <w:rtl/>
        </w:rPr>
        <w:lastRenderedPageBreak/>
        <w:t xml:space="preserve">(להלן: עניין חכים)). מבחן זה יוכרע על פי מגוון נסיבות – הן נסיבות פיזיות, ביניהן טיב המבנה והימצאותם של מתקנים החיוניים למגורים, כגון מתקני חשמל, שירותים, מטבח וכיוצא באלו, והן נסיבות אחרות, כגון תכנית הבינוי של הנכס, סביבתו, מועד בנייתו והשימוש שנעשה בו בפועל (עניין </w:t>
      </w:r>
      <w:r>
        <w:rPr>
          <w:rFonts w:ascii="David" w:hAnsi="David"/>
          <w:b/>
          <w:bCs/>
          <w:rtl/>
        </w:rPr>
        <w:t>שכנר,</w:t>
      </w:r>
      <w:r>
        <w:rPr>
          <w:rFonts w:ascii="David" w:hAnsi="David"/>
          <w:rtl/>
        </w:rPr>
        <w:t xml:space="preserve"> בעמ' 256 – 257, וההפניות שם)". </w:t>
      </w:r>
    </w:p>
    <w:p w:rsidR="006D68C9" w:rsidRDefault="006D68C9" w:rsidP="006D68C9">
      <w:pPr>
        <w:spacing w:line="360" w:lineRule="auto"/>
        <w:ind w:left="1440"/>
        <w:jc w:val="both"/>
        <w:rPr>
          <w:rFonts w:ascii="David" w:hAnsi="David"/>
          <w:rtl/>
        </w:rPr>
      </w:pPr>
    </w:p>
    <w:p w:rsidR="006D68C9" w:rsidRDefault="006D68C9" w:rsidP="00877831">
      <w:pPr>
        <w:pStyle w:val="ae"/>
        <w:numPr>
          <w:ilvl w:val="0"/>
          <w:numId w:val="1"/>
        </w:numPr>
        <w:spacing w:line="360" w:lineRule="auto"/>
        <w:jc w:val="both"/>
        <w:rPr>
          <w:rFonts w:ascii="David" w:hAnsi="David"/>
          <w:rtl/>
        </w:rPr>
      </w:pPr>
      <w:r>
        <w:rPr>
          <w:rFonts w:ascii="David" w:hAnsi="David"/>
          <w:rtl/>
        </w:rPr>
        <w:t xml:space="preserve">בו"ע (חי') 20028-12-14 </w:t>
      </w:r>
      <w:r>
        <w:rPr>
          <w:rFonts w:ascii="David" w:hAnsi="David"/>
          <w:b/>
          <w:bCs/>
          <w:rtl/>
        </w:rPr>
        <w:t>אסתר מנו נ' מנהל מיסוי מקרקעין</w:t>
      </w:r>
      <w:r>
        <w:rPr>
          <w:rFonts w:ascii="David" w:hAnsi="David"/>
          <w:rtl/>
        </w:rPr>
        <w:t xml:space="preserve"> (11.6.18) מדובר היה בנכס שלא שימש במשך שנים רבות למגורים, שחסרים בו מתקנים הכרחיים למגורים, כגון מערכות מים וחשמל, חלונות, דלתות, מתקני רחצה, מטבח וכדומה. ועדת הערר סברה כי מצבו הפיזי הנוכחי של הנכס אינו מספיק לשם הכרעה בשאלת </w:t>
      </w:r>
      <w:r w:rsidR="00877831">
        <w:rPr>
          <w:rFonts w:ascii="David" w:hAnsi="David" w:hint="cs"/>
          <w:rtl/>
        </w:rPr>
        <w:t>תחולת ההגדרה של המונח "</w:t>
      </w:r>
      <w:r>
        <w:rPr>
          <w:rFonts w:ascii="David" w:hAnsi="David"/>
          <w:rtl/>
        </w:rPr>
        <w:t>דירת מגורים</w:t>
      </w:r>
      <w:r w:rsidR="00877831">
        <w:rPr>
          <w:rFonts w:ascii="David" w:hAnsi="David" w:hint="cs"/>
          <w:rtl/>
        </w:rPr>
        <w:t>"</w:t>
      </w:r>
      <w:r>
        <w:rPr>
          <w:rFonts w:ascii="David" w:hAnsi="David"/>
          <w:rtl/>
        </w:rPr>
        <w:t xml:space="preserve">, אלא נדרשת בחינה רחבה יותר. יו"ר הועדה כב' השופט ר' סוקול קבע את הדברים הבאים בהקשר זה (פסקה 25, 26): </w:t>
      </w:r>
    </w:p>
    <w:p w:rsidR="006D68C9" w:rsidRDefault="006D68C9" w:rsidP="006D68C9">
      <w:pPr>
        <w:spacing w:line="360" w:lineRule="auto"/>
        <w:ind w:left="720" w:hanging="720"/>
        <w:jc w:val="both"/>
        <w:rPr>
          <w:rFonts w:ascii="David" w:hAnsi="David"/>
          <w:rtl/>
        </w:rPr>
      </w:pPr>
    </w:p>
    <w:p w:rsidR="006D68C9" w:rsidRDefault="006D68C9" w:rsidP="006D68C9">
      <w:pPr>
        <w:spacing w:line="360" w:lineRule="auto"/>
        <w:ind w:left="1440"/>
        <w:jc w:val="both"/>
        <w:rPr>
          <w:rFonts w:ascii="David" w:hAnsi="David"/>
          <w:rtl/>
        </w:rPr>
      </w:pPr>
      <w:r>
        <w:rPr>
          <w:rFonts w:ascii="David" w:hAnsi="David"/>
          <w:rtl/>
        </w:rPr>
        <w:t>"25.</w:t>
      </w:r>
      <w:r>
        <w:rPr>
          <w:rFonts w:ascii="David" w:hAnsi="David"/>
          <w:rtl/>
        </w:rPr>
        <w:tab/>
        <w:t xml:space="preserve">דומה כי אין להסתפק במבחן יחיד אלא כל מקרה ייבחן על פי נסיבותיו. לגישתי, על בית המשפט להיעזר במבחני משנה שונים ומגוונים ולאזן ביניהם. בין מבחני המשנה הנ"ל יכללו מבחנים פיסיים ומשפטיים, כגון מצבו הפיסי של הנכס וקיומם של מתקנים חיוניים; האפשרות המעשית אובייקטיבית להשלים את החסר על מנת להביא את הנכס למצב בו ניתן יהיה להשתמש בו למגורים; היתר הבנייה שניתן והייעוד הקבוע בו; ייעוד הנכס על פי תכניות המתאר הרלבנטיות וכדומה. כן יבחן ייעודו המהותי של הנכס ובמסגרת זו יכללו מבחנים כגון השימוש שנעשה בנכס בפועל; השימוש הצפוי בנכס בעתיד; השימוש שנעשה בנכסים שונים באותו מבנה או במבנים סמוכים. בית המשפט יבחין בין נכס חדש לנכס ישן; בין נכס המיועד לשימוש לנכס המיועד להריסה וכדומה. דומני כי גם למבחן הכדאיות הכלכלית יש לתת משקל מסוים, אם כי לא משקל מכריע, שהרי ראינו כי הכדאיות הכלכלית תלויה בנסיבות רבות ומגוונות. </w:t>
      </w:r>
    </w:p>
    <w:p w:rsidR="006D68C9" w:rsidRDefault="006D68C9" w:rsidP="006D68C9">
      <w:pPr>
        <w:spacing w:line="360" w:lineRule="auto"/>
        <w:ind w:left="1440"/>
        <w:jc w:val="both"/>
        <w:rPr>
          <w:rFonts w:ascii="David" w:hAnsi="David"/>
          <w:rtl/>
        </w:rPr>
      </w:pPr>
    </w:p>
    <w:p w:rsidR="006D68C9" w:rsidRDefault="006D68C9" w:rsidP="006D68C9">
      <w:pPr>
        <w:spacing w:line="360" w:lineRule="auto"/>
        <w:ind w:left="1440"/>
        <w:jc w:val="both"/>
        <w:rPr>
          <w:rFonts w:ascii="David" w:hAnsi="David"/>
          <w:rtl/>
        </w:rPr>
      </w:pPr>
      <w:r>
        <w:rPr>
          <w:rFonts w:ascii="David" w:hAnsi="David"/>
          <w:rtl/>
        </w:rPr>
        <w:t>26.</w:t>
      </w:r>
      <w:r>
        <w:rPr>
          <w:rFonts w:ascii="David" w:hAnsi="David"/>
          <w:rtl/>
        </w:rPr>
        <w:tab/>
        <w:t>כאן ראוי להוסיף כי ההסתמכות על קביעת מעמדו של הנכס שנקבעה במסגרת אחרת צריכה להיעשות בזהירות. אין די בכך שהרשות המקומית הגדירה את הנכס כניזוק ופטרה את המחזיק בו מתשלום ארנונה כדי לקבוע כי אינו מיועד למגורים, ואף אין די בקביעה כי מדובר במבנה מסוכן, כדי לשלול את המסקנה שמדובר בנכס שעל פי טיבו מיועד למגורים. המבחנים לכל אחד מהחיקוקים השונים עשויים להביא לתוצאות שונות, שכן לכל חוק ישנה תכלית משלו והמבחנים שיקבעו יהיו אותם מבחנים שנועדו לקדם את אותה תכלית."</w:t>
      </w:r>
    </w:p>
    <w:p w:rsidR="006D68C9" w:rsidRDefault="006D68C9" w:rsidP="006D68C9">
      <w:pPr>
        <w:pStyle w:val="ae"/>
        <w:spacing w:line="360" w:lineRule="auto"/>
        <w:jc w:val="both"/>
        <w:rPr>
          <w:rFonts w:ascii="David" w:hAnsi="David"/>
          <w:rtl/>
        </w:rPr>
      </w:pPr>
    </w:p>
    <w:p w:rsidR="006D68C9" w:rsidRDefault="006D68C9" w:rsidP="00877831">
      <w:pPr>
        <w:pStyle w:val="ae"/>
        <w:numPr>
          <w:ilvl w:val="0"/>
          <w:numId w:val="1"/>
        </w:numPr>
        <w:spacing w:line="360" w:lineRule="auto"/>
        <w:jc w:val="both"/>
        <w:rPr>
          <w:rFonts w:ascii="David" w:hAnsi="David"/>
          <w:noProof w:val="0"/>
        </w:rPr>
      </w:pPr>
      <w:r>
        <w:rPr>
          <w:rFonts w:ascii="David" w:hAnsi="David"/>
          <w:noProof w:val="0"/>
          <w:rtl/>
        </w:rPr>
        <w:t xml:space="preserve">ביום 3.1.2019 מפקחת מטעם המשיב </w:t>
      </w:r>
      <w:r w:rsidR="00877831">
        <w:rPr>
          <w:rFonts w:ascii="David" w:hAnsi="David" w:hint="cs"/>
          <w:noProof w:val="0"/>
          <w:rtl/>
        </w:rPr>
        <w:t xml:space="preserve">ביקרה </w:t>
      </w:r>
      <w:r>
        <w:rPr>
          <w:rFonts w:ascii="David" w:hAnsi="David"/>
          <w:noProof w:val="0"/>
          <w:rtl/>
        </w:rPr>
        <w:t xml:space="preserve">במקרקעין, </w:t>
      </w:r>
      <w:r w:rsidR="00877831">
        <w:rPr>
          <w:rFonts w:ascii="David" w:hAnsi="David" w:hint="cs"/>
          <w:noProof w:val="0"/>
          <w:rtl/>
        </w:rPr>
        <w:t>ומן הביקור עלו</w:t>
      </w:r>
      <w:r w:rsidR="00B96768">
        <w:rPr>
          <w:rFonts w:ascii="David" w:hAnsi="David" w:hint="cs"/>
          <w:noProof w:val="0"/>
          <w:rtl/>
        </w:rPr>
        <w:t xml:space="preserve">, </w:t>
      </w:r>
      <w:r>
        <w:rPr>
          <w:rFonts w:ascii="David" w:hAnsi="David"/>
          <w:noProof w:val="0"/>
          <w:rtl/>
        </w:rPr>
        <w:t xml:space="preserve">בין היתר, הממצאים הבאים: </w:t>
      </w:r>
    </w:p>
    <w:p w:rsidR="006D68C9" w:rsidRDefault="006D68C9" w:rsidP="006D68C9">
      <w:pPr>
        <w:pStyle w:val="ae"/>
        <w:spacing w:line="360" w:lineRule="auto"/>
        <w:jc w:val="both"/>
        <w:rPr>
          <w:rFonts w:ascii="David" w:hAnsi="David"/>
          <w:noProof w:val="0"/>
        </w:rPr>
      </w:pPr>
    </w:p>
    <w:p w:rsidR="006D68C9" w:rsidRDefault="006D68C9" w:rsidP="006D68C9">
      <w:pPr>
        <w:pStyle w:val="ae"/>
        <w:spacing w:line="360" w:lineRule="auto"/>
        <w:ind w:left="1440"/>
        <w:jc w:val="both"/>
        <w:rPr>
          <w:rFonts w:ascii="David" w:hAnsi="David"/>
          <w:noProof w:val="0"/>
        </w:rPr>
      </w:pPr>
      <w:r>
        <w:rPr>
          <w:rFonts w:ascii="David" w:hAnsi="David"/>
          <w:noProof w:val="0"/>
          <w:rtl/>
        </w:rPr>
        <w:t>"[...] מצאתי מבנה אבן חד קומתי הבנוי בצורת ר, לא מחובר לחשמל או למים/ביוב. בנכס 3 חלקים: חלל מלבני אליו נכנסים בדלת (פלדלת)- החלל מרוצף, ברובו לפחות (מה שאפשר היה לראות מתחת לגרוטאות הרבות שהיו בו) ישנם פתחי חלונות (ללא החלונות עצמם, יש סורגים). אין אמבטיה, אין מקלחת, אין מטבח, ישנו חדר עם שירותים שבורים ולא מתפקדים (כשהכניסה אליו מחוץ לחלל זה). חלק נוסף- כשיוצאים מחלל הראשון לחצר אליו מגיעים לחלק נוסף ובו 2 חדרים. המבנה עבר שריפה. יש רק קירות שרופים (יש גג). חלק נוסף- הנמצא בין 2 חלקים אלו- חלק זה התמוטט- אין תקרה, הקירות חלקם ממוטטים. אי אפשר להיכנס אליו."</w:t>
      </w:r>
    </w:p>
    <w:p w:rsidR="006D68C9" w:rsidRDefault="006D68C9" w:rsidP="006D68C9">
      <w:pPr>
        <w:spacing w:line="360" w:lineRule="auto"/>
        <w:jc w:val="both"/>
        <w:rPr>
          <w:rFonts w:ascii="David" w:hAnsi="David"/>
          <w:rtl/>
        </w:rPr>
      </w:pPr>
    </w:p>
    <w:p w:rsidR="006D68C9" w:rsidRDefault="006D68C9" w:rsidP="00877831">
      <w:pPr>
        <w:pStyle w:val="ae"/>
        <w:numPr>
          <w:ilvl w:val="0"/>
          <w:numId w:val="1"/>
        </w:numPr>
        <w:spacing w:line="360" w:lineRule="auto"/>
        <w:jc w:val="both"/>
        <w:rPr>
          <w:rFonts w:ascii="David" w:hAnsi="David"/>
        </w:rPr>
      </w:pPr>
      <w:r>
        <w:rPr>
          <w:rFonts w:ascii="David" w:hAnsi="David"/>
          <w:rtl/>
        </w:rPr>
        <w:t>רוח דברים אלו נמצאה גם בעדות אמיר רבינוביץ</w:t>
      </w:r>
      <w:r w:rsidR="00B96768">
        <w:rPr>
          <w:rFonts w:ascii="David" w:hAnsi="David" w:hint="cs"/>
          <w:rtl/>
        </w:rPr>
        <w:t>,רכז החוליה,</w:t>
      </w:r>
      <w:r>
        <w:rPr>
          <w:rFonts w:ascii="David" w:hAnsi="David"/>
          <w:rtl/>
        </w:rPr>
        <w:t xml:space="preserve"> שביקר במקרקעין:</w:t>
      </w:r>
    </w:p>
    <w:p w:rsidR="006D68C9" w:rsidRDefault="006D68C9" w:rsidP="00877831">
      <w:pPr>
        <w:pStyle w:val="ae"/>
        <w:spacing w:line="360" w:lineRule="auto"/>
        <w:ind w:left="1440"/>
        <w:jc w:val="both"/>
        <w:rPr>
          <w:rFonts w:ascii="David" w:hAnsi="David"/>
        </w:rPr>
      </w:pPr>
      <w:r>
        <w:rPr>
          <w:rFonts w:ascii="David" w:hAnsi="David"/>
          <w:rtl/>
        </w:rPr>
        <w:t>"זה לא עולה בהגדרת דירת מגורים. אמנם יש איזשהו חלל שלא הרוס לגמרי. אבל בין זה לבין דירת מגורים יש מרחב רב" (עמוד 20</w:t>
      </w:r>
      <w:r w:rsidR="00877831">
        <w:rPr>
          <w:rFonts w:ascii="David" w:hAnsi="David" w:hint="cs"/>
          <w:rtl/>
        </w:rPr>
        <w:t xml:space="preserve"> לפרוטוקול</w:t>
      </w:r>
      <w:r>
        <w:rPr>
          <w:rFonts w:ascii="David" w:hAnsi="David"/>
          <w:rtl/>
        </w:rPr>
        <w:t>, שורה 14).</w:t>
      </w:r>
    </w:p>
    <w:p w:rsidR="006D68C9" w:rsidRDefault="006D68C9" w:rsidP="006D68C9">
      <w:pPr>
        <w:pStyle w:val="ae"/>
        <w:spacing w:line="360" w:lineRule="auto"/>
        <w:ind w:left="1440"/>
        <w:jc w:val="both"/>
        <w:rPr>
          <w:rFonts w:ascii="David" w:hAnsi="David"/>
          <w:rtl/>
        </w:rPr>
      </w:pPr>
    </w:p>
    <w:p w:rsidR="006D68C9" w:rsidRDefault="006D68C9" w:rsidP="006D68C9">
      <w:pPr>
        <w:pStyle w:val="ae"/>
        <w:numPr>
          <w:ilvl w:val="0"/>
          <w:numId w:val="1"/>
        </w:numPr>
        <w:spacing w:line="360" w:lineRule="auto"/>
        <w:jc w:val="both"/>
        <w:rPr>
          <w:rFonts w:ascii="David" w:hAnsi="David"/>
          <w:rtl/>
        </w:rPr>
      </w:pPr>
      <w:r>
        <w:rPr>
          <w:rFonts w:ascii="David" w:hAnsi="David"/>
          <w:rtl/>
        </w:rPr>
        <w:t xml:space="preserve">כפי שציין המשיב בפסקה </w:t>
      </w:r>
      <w:r w:rsidR="00693F73">
        <w:rPr>
          <w:rFonts w:ascii="David" w:hAnsi="David"/>
          <w:rtl/>
        </w:rPr>
        <w:t>34 לסיכומיו, בחוות דעת של השמאי</w:t>
      </w:r>
      <w:r>
        <w:rPr>
          <w:rFonts w:ascii="David" w:hAnsi="David"/>
          <w:rtl/>
        </w:rPr>
        <w:t xml:space="preserve"> ג</w:t>
      </w:r>
      <w:r w:rsidR="00693F73">
        <w:rPr>
          <w:rFonts w:ascii="David" w:hAnsi="David"/>
          <w:rtl/>
        </w:rPr>
        <w:t>יל יזרעאלי מיום 20.3.2017, תיאר השמאי</w:t>
      </w:r>
      <w:r>
        <w:rPr>
          <w:rFonts w:ascii="David" w:hAnsi="David"/>
          <w:rtl/>
        </w:rPr>
        <w:t xml:space="preserve"> את המקרקעין באופן הבא:"</w:t>
      </w:r>
      <w:r>
        <w:rPr>
          <w:rFonts w:ascii="David" w:hAnsi="David"/>
          <w:b/>
          <w:bCs/>
          <w:rtl/>
        </w:rPr>
        <w:t>המבנה הרוס, ריק ופנוי ואיננו תורם במצבו לשווי השוק של הנכס</w:t>
      </w:r>
      <w:r>
        <w:rPr>
          <w:rFonts w:ascii="David" w:hAnsi="David"/>
          <w:rtl/>
        </w:rPr>
        <w:t>". עו</w:t>
      </w:r>
      <w:r w:rsidR="00693F73">
        <w:rPr>
          <w:rFonts w:ascii="David" w:hAnsi="David"/>
          <w:rtl/>
        </w:rPr>
        <w:t>ד ציין המשיב את חוות הדעת השמאי</w:t>
      </w:r>
      <w:r>
        <w:rPr>
          <w:rFonts w:ascii="David" w:hAnsi="David"/>
          <w:rtl/>
        </w:rPr>
        <w:t xml:space="preserve"> שהוכנה בנובמבר 2018 לבנק ירושלים עבור רכישת המקרקעין, בה נכתב כך: "הנכס ריק מאדם ואינו ראוי למגורים במצבו", </w:t>
      </w:r>
      <w:r>
        <w:rPr>
          <w:rFonts w:ascii="David" w:hAnsi="David"/>
          <w:b/>
          <w:bCs/>
          <w:rtl/>
        </w:rPr>
        <w:t>"על המגרש כיום בנוי בניין ותיק, אשר אינו תורם לשווי החלקה", "גג המבנה שטוח ובחלקו הרוס. מבנה זה מיועד להריסה"</w:t>
      </w:r>
      <w:r>
        <w:rPr>
          <w:rFonts w:ascii="David" w:hAnsi="David"/>
          <w:rtl/>
        </w:rPr>
        <w:t>.</w:t>
      </w:r>
    </w:p>
    <w:p w:rsidR="006D68C9" w:rsidRDefault="006D68C9" w:rsidP="006D68C9">
      <w:pPr>
        <w:pStyle w:val="ae"/>
        <w:spacing w:line="360" w:lineRule="auto"/>
        <w:jc w:val="both"/>
        <w:rPr>
          <w:rFonts w:ascii="David" w:hAnsi="David"/>
          <w:rtl/>
        </w:rPr>
      </w:pPr>
    </w:p>
    <w:p w:rsidR="006D68C9" w:rsidRDefault="006D68C9" w:rsidP="00877831">
      <w:pPr>
        <w:pStyle w:val="ae"/>
        <w:numPr>
          <w:ilvl w:val="0"/>
          <w:numId w:val="1"/>
        </w:numPr>
        <w:spacing w:line="360" w:lineRule="auto"/>
        <w:jc w:val="both"/>
        <w:rPr>
          <w:rFonts w:ascii="David" w:hAnsi="David"/>
          <w:rtl/>
        </w:rPr>
      </w:pPr>
      <w:r>
        <w:rPr>
          <w:rFonts w:ascii="David" w:hAnsi="David"/>
          <w:rtl/>
        </w:rPr>
        <w:t xml:space="preserve">בחקירתו הנגדית העיד העורר עצמו כי הנכס </w:t>
      </w:r>
      <w:r w:rsidR="00877831">
        <w:rPr>
          <w:rFonts w:ascii="David" w:hAnsi="David" w:hint="cs"/>
          <w:rtl/>
        </w:rPr>
        <w:t>לא</w:t>
      </w:r>
      <w:r>
        <w:rPr>
          <w:rFonts w:ascii="David" w:hAnsi="David"/>
          <w:rtl/>
        </w:rPr>
        <w:t xml:space="preserve"> היה ראוי למגורים במועד מכירתו:</w:t>
      </w:r>
    </w:p>
    <w:p w:rsidR="006D68C9" w:rsidRDefault="006D68C9" w:rsidP="006D68C9">
      <w:pPr>
        <w:pStyle w:val="ae"/>
        <w:spacing w:line="360" w:lineRule="auto"/>
        <w:ind w:left="1440"/>
        <w:jc w:val="both"/>
        <w:rPr>
          <w:rFonts w:ascii="David" w:hAnsi="David"/>
        </w:rPr>
      </w:pPr>
      <w:r>
        <w:rPr>
          <w:rFonts w:ascii="David" w:hAnsi="David"/>
          <w:rtl/>
        </w:rPr>
        <w:t>"ש. בס' 5 להסכם המכירה שלך ציינתם לרוכשים שהנכס לא ראוי למגורים במצבו היום נכון?</w:t>
      </w:r>
    </w:p>
    <w:p w:rsidR="006D68C9" w:rsidRDefault="006D68C9" w:rsidP="006D68C9">
      <w:pPr>
        <w:pStyle w:val="ae"/>
        <w:spacing w:line="360" w:lineRule="auto"/>
        <w:ind w:left="1440"/>
        <w:jc w:val="both"/>
        <w:rPr>
          <w:rFonts w:ascii="David" w:hAnsi="David"/>
          <w:rtl/>
        </w:rPr>
      </w:pPr>
      <w:r>
        <w:rPr>
          <w:rFonts w:ascii="David" w:hAnsi="David"/>
          <w:rtl/>
        </w:rPr>
        <w:t>ת. אנחנו דאגנו לשים שם פסולת כדי שלא יהיה ראוי למגורים [...]" (עמודים 8-9</w:t>
      </w:r>
      <w:r w:rsidR="00877831">
        <w:rPr>
          <w:rFonts w:ascii="David" w:hAnsi="David" w:hint="cs"/>
          <w:rtl/>
        </w:rPr>
        <w:t xml:space="preserve"> לפרוטוקול</w:t>
      </w:r>
      <w:r>
        <w:rPr>
          <w:rFonts w:ascii="David" w:hAnsi="David"/>
          <w:rtl/>
        </w:rPr>
        <w:t>, שורות 33 ו-1 בהתאמה).</w:t>
      </w:r>
    </w:p>
    <w:p w:rsidR="006D68C9" w:rsidRDefault="006D68C9" w:rsidP="006D68C9">
      <w:pPr>
        <w:spacing w:line="360" w:lineRule="auto"/>
        <w:jc w:val="both"/>
        <w:rPr>
          <w:rFonts w:ascii="David" w:hAnsi="David"/>
          <w:rtl/>
        </w:rPr>
      </w:pPr>
    </w:p>
    <w:p w:rsidR="006D68C9" w:rsidRDefault="006D68C9" w:rsidP="006D68C9">
      <w:pPr>
        <w:pStyle w:val="ae"/>
        <w:numPr>
          <w:ilvl w:val="0"/>
          <w:numId w:val="1"/>
        </w:numPr>
        <w:spacing w:line="360" w:lineRule="auto"/>
        <w:jc w:val="both"/>
        <w:rPr>
          <w:rFonts w:ascii="David" w:hAnsi="David"/>
          <w:rtl/>
        </w:rPr>
      </w:pPr>
      <w:r>
        <w:rPr>
          <w:rFonts w:ascii="David" w:hAnsi="David"/>
          <w:rtl/>
        </w:rPr>
        <w:t xml:space="preserve">בע"א 667/82 </w:t>
      </w:r>
      <w:r>
        <w:rPr>
          <w:rFonts w:ascii="David" w:hAnsi="David"/>
          <w:b/>
          <w:bCs/>
          <w:rtl/>
        </w:rPr>
        <w:t>כורש נ' מנהל מס שבח מקרקרעין</w:t>
      </w:r>
      <w:r>
        <w:rPr>
          <w:rFonts w:ascii="David" w:hAnsi="David"/>
          <w:rtl/>
        </w:rPr>
        <w:t xml:space="preserve">, פ"ד לט(2) 385 </w:t>
      </w:r>
      <w:r w:rsidR="00877831">
        <w:rPr>
          <w:rFonts w:ascii="David" w:hAnsi="David" w:hint="cs"/>
          <w:rtl/>
        </w:rPr>
        <w:t xml:space="preserve">נקבעו הדברים הבאים </w:t>
      </w:r>
      <w:r>
        <w:rPr>
          <w:rFonts w:ascii="David" w:hAnsi="David"/>
          <w:rtl/>
        </w:rPr>
        <w:t>(פסקה 9):</w:t>
      </w:r>
    </w:p>
    <w:p w:rsidR="006D68C9" w:rsidRDefault="006D68C9" w:rsidP="006D68C9">
      <w:pPr>
        <w:spacing w:line="360" w:lineRule="auto"/>
        <w:ind w:left="720" w:hanging="720"/>
        <w:jc w:val="both"/>
        <w:rPr>
          <w:rFonts w:ascii="David" w:hAnsi="David"/>
          <w:rtl/>
        </w:rPr>
      </w:pPr>
    </w:p>
    <w:p w:rsidR="006D68C9" w:rsidRDefault="006D68C9" w:rsidP="006D68C9">
      <w:pPr>
        <w:spacing w:line="360" w:lineRule="auto"/>
        <w:ind w:left="1440"/>
        <w:jc w:val="both"/>
        <w:rPr>
          <w:rFonts w:ascii="David" w:hAnsi="David"/>
          <w:rtl/>
        </w:rPr>
      </w:pPr>
      <w:r>
        <w:rPr>
          <w:rFonts w:ascii="David" w:hAnsi="David"/>
          <w:rtl/>
        </w:rPr>
        <w:lastRenderedPageBreak/>
        <w:t>"9. בבחינת המבחן האובייקטיבי בדבר "פוטנציאל ממשי להשתמש בדירה למגורים" יש לבדוק כל מקרה לגופו על – פי כלל נסיבותיו.</w:t>
      </w:r>
      <w:r>
        <w:rPr>
          <w:rFonts w:ascii="David" w:hAnsi="David"/>
          <w:b/>
          <w:bCs/>
          <w:rtl/>
        </w:rPr>
        <w:t xml:space="preserve"> </w:t>
      </w:r>
      <w:r>
        <w:rPr>
          <w:rFonts w:ascii="David" w:hAnsi="David"/>
          <w:rtl/>
        </w:rPr>
        <w:t xml:space="preserve"> כל נכס ונסיבותיו הוא. הנסיבות הרלוונטיות מגוונות ורבות, ובכללן אופי הנכס ומתקניו הפנימיים, תכניות הבינוי של הנכס והסביבה של הנכס הרלוונטי. גם מועד הבנייה של הנכס הוא נסיבה שצריכה להיות מובאת בחשבון בין יתר הנסיבות, ואין לצפות כי יש להחיל אותם</w:t>
      </w:r>
      <w:r>
        <w:rPr>
          <w:rFonts w:ascii="David" w:hAnsi="David"/>
          <w:u w:val="single"/>
          <w:rtl/>
        </w:rPr>
        <w:t xml:space="preserve"> </w:t>
      </w:r>
      <w:r>
        <w:rPr>
          <w:rFonts w:ascii="David" w:hAnsi="David"/>
          <w:rtl/>
        </w:rPr>
        <w:t>סטנדרטים על נכס שנבנה לפי מאה שנה כמו על נכס שנבנה זה עתה. גם השימוש שנעשה בפועל בנכס יכול ללמד במידה מסוימת על טיבו. כל אלה יכולות להיות נסיבות רלוונטיות שיש בהן כדי ללמד על טיבו של הנכס כבעל פוטנציאל לשמש למגורים."</w:t>
      </w:r>
    </w:p>
    <w:p w:rsidR="006D68C9" w:rsidRDefault="006D68C9" w:rsidP="006D68C9">
      <w:pPr>
        <w:spacing w:line="360" w:lineRule="auto"/>
        <w:ind w:left="1440"/>
        <w:jc w:val="both"/>
        <w:rPr>
          <w:rFonts w:ascii="David" w:hAnsi="David"/>
          <w:rtl/>
        </w:rPr>
      </w:pPr>
    </w:p>
    <w:p w:rsidR="006D68C9" w:rsidRDefault="006D68C9" w:rsidP="00877831">
      <w:pPr>
        <w:pStyle w:val="ae"/>
        <w:numPr>
          <w:ilvl w:val="0"/>
          <w:numId w:val="1"/>
        </w:numPr>
        <w:spacing w:line="360" w:lineRule="auto"/>
        <w:jc w:val="both"/>
        <w:rPr>
          <w:rFonts w:ascii="David" w:hAnsi="David"/>
        </w:rPr>
      </w:pPr>
      <w:r>
        <w:rPr>
          <w:rFonts w:ascii="David" w:hAnsi="David"/>
          <w:rtl/>
        </w:rPr>
        <w:t xml:space="preserve">העורר לא הציג לועדה תמונות שיכולות ללמד על מצב הנכס, וכן לא צירף מסמכי ארנונה או מסמכים אחרים שיכולים לתמוך בטענותיו. בתצהירו העיד העורר כי הנכס שימש במשך שנים את המוכר דרגן למגורים (ס' 19 לתצהיר), אך הדבר לא הוכח כלל ודרגן לא זומן לעדות בפני </w:t>
      </w:r>
      <w:r w:rsidR="00B96768">
        <w:rPr>
          <w:rFonts w:ascii="David" w:hAnsi="David"/>
          <w:rtl/>
        </w:rPr>
        <w:t xml:space="preserve">הועדה. </w:t>
      </w:r>
      <w:r>
        <w:rPr>
          <w:rFonts w:ascii="David" w:hAnsi="David"/>
          <w:rtl/>
        </w:rPr>
        <w:t>בחקירתו הנגדית, כנשאל העורר לגבי העניין השיב כך:</w:t>
      </w:r>
    </w:p>
    <w:p w:rsidR="00877831" w:rsidRDefault="00877831" w:rsidP="00877831">
      <w:pPr>
        <w:pStyle w:val="ae"/>
        <w:spacing w:line="360" w:lineRule="auto"/>
        <w:jc w:val="both"/>
        <w:rPr>
          <w:rFonts w:ascii="David" w:hAnsi="David"/>
          <w:rtl/>
        </w:rPr>
      </w:pPr>
    </w:p>
    <w:p w:rsidR="006D68C9" w:rsidRDefault="006D68C9" w:rsidP="006D68C9">
      <w:pPr>
        <w:pStyle w:val="ae"/>
        <w:spacing w:line="360" w:lineRule="auto"/>
        <w:ind w:left="1440"/>
        <w:jc w:val="both"/>
        <w:rPr>
          <w:rFonts w:ascii="David" w:hAnsi="David"/>
        </w:rPr>
      </w:pPr>
      <w:r>
        <w:rPr>
          <w:rFonts w:ascii="David" w:hAnsi="David"/>
          <w:rtl/>
        </w:rPr>
        <w:t>"ש. בס' 19 לתצהיר שלך אתה מציין שהמוכר ששון דרגן התגורר בנכס. זה היה לפני רכישת הנכס על ידך נכון?</w:t>
      </w:r>
    </w:p>
    <w:p w:rsidR="006D68C9" w:rsidRDefault="006D68C9" w:rsidP="006D68C9">
      <w:pPr>
        <w:pStyle w:val="ae"/>
        <w:spacing w:line="360" w:lineRule="auto"/>
        <w:ind w:left="1440"/>
        <w:jc w:val="both"/>
        <w:rPr>
          <w:rFonts w:ascii="David" w:hAnsi="David"/>
          <w:rtl/>
        </w:rPr>
      </w:pPr>
      <w:r>
        <w:rPr>
          <w:rFonts w:ascii="David" w:hAnsi="David"/>
          <w:rtl/>
        </w:rPr>
        <w:t>ת. אתה שואל שאלות אבל עברו הרבה שנים אני צריך להיזכר. ס' 19 אתה מתכוון?</w:t>
      </w:r>
    </w:p>
    <w:p w:rsidR="006D68C9" w:rsidRDefault="006D68C9" w:rsidP="006D68C9">
      <w:pPr>
        <w:pStyle w:val="ae"/>
        <w:spacing w:line="360" w:lineRule="auto"/>
        <w:ind w:left="1440"/>
        <w:jc w:val="both"/>
        <w:rPr>
          <w:rFonts w:ascii="David" w:hAnsi="David"/>
          <w:rtl/>
        </w:rPr>
      </w:pPr>
      <w:r>
        <w:rPr>
          <w:rFonts w:ascii="David" w:hAnsi="David"/>
          <w:rtl/>
        </w:rPr>
        <w:t>ש. כן</w:t>
      </w:r>
    </w:p>
    <w:p w:rsidR="006D68C9" w:rsidRDefault="006D68C9" w:rsidP="006D68C9">
      <w:pPr>
        <w:pStyle w:val="ae"/>
        <w:spacing w:line="360" w:lineRule="auto"/>
        <w:ind w:left="1440"/>
        <w:jc w:val="both"/>
        <w:rPr>
          <w:rFonts w:ascii="David" w:hAnsi="David"/>
          <w:rtl/>
        </w:rPr>
      </w:pPr>
      <w:r>
        <w:rPr>
          <w:rFonts w:ascii="David" w:hAnsi="David"/>
          <w:rtl/>
        </w:rPr>
        <w:t>ת. שימש את מר ששון דרגן או מי מטעמו.</w:t>
      </w:r>
    </w:p>
    <w:p w:rsidR="006D68C9" w:rsidRDefault="006D68C9" w:rsidP="006D68C9">
      <w:pPr>
        <w:pStyle w:val="ae"/>
        <w:spacing w:line="360" w:lineRule="auto"/>
        <w:ind w:left="1440"/>
        <w:jc w:val="both"/>
        <w:rPr>
          <w:rFonts w:ascii="David" w:hAnsi="David"/>
          <w:rtl/>
        </w:rPr>
      </w:pPr>
      <w:r>
        <w:rPr>
          <w:rFonts w:ascii="David" w:hAnsi="David"/>
          <w:rtl/>
        </w:rPr>
        <w:t>ש. ששון דרגן לא גר שם?</w:t>
      </w:r>
    </w:p>
    <w:p w:rsidR="006D68C9" w:rsidRDefault="006D68C9" w:rsidP="006D68C9">
      <w:pPr>
        <w:pStyle w:val="ae"/>
        <w:spacing w:line="360" w:lineRule="auto"/>
        <w:ind w:left="1440"/>
        <w:jc w:val="both"/>
        <w:rPr>
          <w:rFonts w:ascii="David" w:hAnsi="David"/>
          <w:rtl/>
        </w:rPr>
      </w:pPr>
      <w:r>
        <w:rPr>
          <w:rFonts w:ascii="David" w:hAnsi="David"/>
          <w:rtl/>
        </w:rPr>
        <w:t>ת. לא. יכול להיות שכן, זה או ששון דרגן או מי מטעמו. מישהו גר שם."</w:t>
      </w:r>
    </w:p>
    <w:p w:rsidR="006D68C9" w:rsidRDefault="006D68C9" w:rsidP="006D68C9">
      <w:pPr>
        <w:spacing w:line="360" w:lineRule="auto"/>
        <w:ind w:left="1440"/>
        <w:jc w:val="both"/>
        <w:rPr>
          <w:rFonts w:ascii="David" w:hAnsi="David"/>
        </w:rPr>
      </w:pPr>
    </w:p>
    <w:p w:rsidR="006D68C9" w:rsidRDefault="006D68C9" w:rsidP="00877831">
      <w:pPr>
        <w:pStyle w:val="ae"/>
        <w:numPr>
          <w:ilvl w:val="0"/>
          <w:numId w:val="1"/>
        </w:numPr>
        <w:spacing w:line="360" w:lineRule="auto"/>
        <w:jc w:val="both"/>
        <w:rPr>
          <w:rFonts w:ascii="David" w:hAnsi="David"/>
          <w:rtl/>
        </w:rPr>
      </w:pPr>
      <w:r>
        <w:rPr>
          <w:rFonts w:ascii="David" w:hAnsi="David"/>
          <w:rtl/>
        </w:rPr>
        <w:t xml:space="preserve">מהחומר והתצלומים שהוגשו לועדה ניתן להיווכח כי למעשה המבנה נשוא השומה הרוס כליל, שרוף בחלקו ומחוסר קורת גג בחלקו האחר. וגם, כפי שתואר לעיל, במבנה לא מצויים מתקנים בסיסיים למחייה ומגורים והוא נטוש ומוזנח. מצבו הרעוע של הנכס, </w:t>
      </w:r>
      <w:r w:rsidR="00877831">
        <w:rPr>
          <w:rFonts w:ascii="David" w:hAnsi="David" w:hint="cs"/>
          <w:rtl/>
        </w:rPr>
        <w:t xml:space="preserve">מלמד </w:t>
      </w:r>
      <w:r>
        <w:rPr>
          <w:rFonts w:ascii="David" w:hAnsi="David"/>
          <w:rtl/>
        </w:rPr>
        <w:t xml:space="preserve">כי אין הוא עומד בהגדרת דירת מגורים או בעל "פוטנציאל לשמש למגורים". דברים דומים נקבעו על ידי כב' השופט הנדל בעניין </w:t>
      </w:r>
      <w:r>
        <w:rPr>
          <w:rFonts w:ascii="David" w:hAnsi="David"/>
          <w:b/>
          <w:bCs/>
          <w:rtl/>
        </w:rPr>
        <w:t>נירה מעין</w:t>
      </w:r>
      <w:r>
        <w:rPr>
          <w:rFonts w:ascii="David" w:hAnsi="David"/>
          <w:rtl/>
        </w:rPr>
        <w:t>, שם נקבע לגבי דירת מעטפת, כי מאחר והיא נעדרת מתקנים פיזיים הדרושים למגורים, ועל אף שמדובר בדירה שממוקמת בבניין המיועד למגורים- לא ניתן להגדירה כדירה "המיועדת למגורים לפי טיבה" (פסקה 8 לפסק הדין).</w:t>
      </w:r>
    </w:p>
    <w:p w:rsidR="006D68C9" w:rsidRDefault="006D68C9" w:rsidP="006D68C9">
      <w:pPr>
        <w:spacing w:line="360" w:lineRule="auto"/>
        <w:ind w:left="1440"/>
        <w:jc w:val="both"/>
        <w:rPr>
          <w:rFonts w:ascii="David" w:hAnsi="David"/>
        </w:rPr>
      </w:pPr>
    </w:p>
    <w:p w:rsidR="006D68C9" w:rsidRDefault="006D68C9" w:rsidP="00643C53">
      <w:pPr>
        <w:pStyle w:val="ae"/>
        <w:numPr>
          <w:ilvl w:val="0"/>
          <w:numId w:val="1"/>
        </w:numPr>
        <w:spacing w:line="360" w:lineRule="auto"/>
        <w:jc w:val="both"/>
        <w:rPr>
          <w:rFonts w:ascii="David" w:hAnsi="David"/>
          <w:rtl/>
        </w:rPr>
      </w:pPr>
      <w:r>
        <w:rPr>
          <w:rFonts w:ascii="David" w:hAnsi="David"/>
          <w:rtl/>
        </w:rPr>
        <w:t xml:space="preserve">העורר טען כי הריסת המבנה נעשתה על ידי ששון דרגן שמכר את הזכויות </w:t>
      </w:r>
      <w:r w:rsidR="00643C53">
        <w:rPr>
          <w:rFonts w:ascii="David" w:hAnsi="David" w:hint="cs"/>
          <w:rtl/>
        </w:rPr>
        <w:t>בנכס</w:t>
      </w:r>
      <w:r>
        <w:rPr>
          <w:rFonts w:ascii="David" w:hAnsi="David"/>
          <w:rtl/>
        </w:rPr>
        <w:t xml:space="preserve"> ל</w:t>
      </w:r>
      <w:r w:rsidR="00643C53">
        <w:rPr>
          <w:rFonts w:ascii="David" w:hAnsi="David" w:hint="cs"/>
          <w:rtl/>
        </w:rPr>
        <w:t xml:space="preserve">עורר </w:t>
      </w:r>
      <w:r>
        <w:rPr>
          <w:rFonts w:ascii="David" w:hAnsi="David"/>
          <w:rtl/>
        </w:rPr>
        <w:t xml:space="preserve">ולשותפיו וגם </w:t>
      </w:r>
      <w:r w:rsidR="00643C53">
        <w:rPr>
          <w:rFonts w:ascii="David" w:hAnsi="David" w:hint="cs"/>
          <w:rtl/>
        </w:rPr>
        <w:t xml:space="preserve">גרם </w:t>
      </w:r>
      <w:r>
        <w:rPr>
          <w:rFonts w:ascii="David" w:hAnsi="David"/>
          <w:rtl/>
        </w:rPr>
        <w:t>נזק במתכוון ל</w:t>
      </w:r>
      <w:r w:rsidR="00643C53">
        <w:rPr>
          <w:rFonts w:ascii="David" w:hAnsi="David" w:hint="cs"/>
          <w:rtl/>
        </w:rPr>
        <w:t xml:space="preserve">נכס </w:t>
      </w:r>
      <w:r>
        <w:rPr>
          <w:rFonts w:ascii="David" w:hAnsi="David"/>
          <w:rtl/>
        </w:rPr>
        <w:t xml:space="preserve"> בכדי שלא יפלשו אליו. עוד טען, כי המצאות פסולת </w:t>
      </w:r>
      <w:r>
        <w:rPr>
          <w:rFonts w:ascii="David" w:hAnsi="David"/>
          <w:rtl/>
        </w:rPr>
        <w:lastRenderedPageBreak/>
        <w:t xml:space="preserve">רבה בנכס אינה פוסלת אותו מלהיות בית מגורים. אולם, אין בטענות אלו כדי לסתור את העובדה כי ביום מכירת המבנה הוא </w:t>
      </w:r>
      <w:r w:rsidR="00643C53">
        <w:rPr>
          <w:rFonts w:ascii="David" w:hAnsi="David" w:hint="cs"/>
          <w:rtl/>
        </w:rPr>
        <w:t xml:space="preserve">היה במצב שלא יכול היה </w:t>
      </w:r>
      <w:r>
        <w:rPr>
          <w:rFonts w:ascii="David" w:hAnsi="David"/>
          <w:rtl/>
        </w:rPr>
        <w:t xml:space="preserve">לשמש כדירת מגורים </w:t>
      </w:r>
      <w:r w:rsidR="00643C53">
        <w:rPr>
          <w:rFonts w:ascii="David" w:hAnsi="David" w:hint="cs"/>
          <w:rtl/>
        </w:rPr>
        <w:t>כ</w:t>
      </w:r>
      <w:r>
        <w:rPr>
          <w:rFonts w:ascii="David" w:hAnsi="David"/>
          <w:rtl/>
        </w:rPr>
        <w:t>הגדרתה בחוק.</w:t>
      </w:r>
    </w:p>
    <w:p w:rsidR="006D68C9" w:rsidRDefault="006D68C9" w:rsidP="006D68C9">
      <w:pPr>
        <w:pStyle w:val="ae"/>
        <w:spacing w:line="360" w:lineRule="auto"/>
        <w:jc w:val="both"/>
        <w:rPr>
          <w:rFonts w:ascii="David" w:hAnsi="David"/>
        </w:rPr>
      </w:pPr>
    </w:p>
    <w:p w:rsidR="006D68C9" w:rsidRDefault="006D68C9" w:rsidP="00693F73">
      <w:pPr>
        <w:pStyle w:val="ae"/>
        <w:numPr>
          <w:ilvl w:val="0"/>
          <w:numId w:val="1"/>
        </w:numPr>
        <w:spacing w:line="360" w:lineRule="auto"/>
        <w:jc w:val="both"/>
        <w:rPr>
          <w:rFonts w:ascii="David" w:hAnsi="David"/>
        </w:rPr>
      </w:pPr>
      <w:r>
        <w:rPr>
          <w:rFonts w:ascii="David" w:hAnsi="David"/>
          <w:rtl/>
        </w:rPr>
        <w:t>אין בסיס לטענת העורר כי עלות השמשת הנכס למגורים אינה גבוה</w:t>
      </w:r>
      <w:r w:rsidR="00B96768">
        <w:rPr>
          <w:rFonts w:ascii="David" w:hAnsi="David" w:hint="cs"/>
          <w:rtl/>
        </w:rPr>
        <w:t>ה</w:t>
      </w:r>
      <w:r>
        <w:rPr>
          <w:rFonts w:ascii="David" w:hAnsi="David"/>
          <w:rtl/>
        </w:rPr>
        <w:t xml:space="preserve">. כמו </w:t>
      </w:r>
      <w:r w:rsidR="00643C53">
        <w:rPr>
          <w:rFonts w:ascii="David" w:hAnsi="David" w:hint="cs"/>
          <w:rtl/>
        </w:rPr>
        <w:t>כן</w:t>
      </w:r>
      <w:r w:rsidR="00B96768">
        <w:rPr>
          <w:rFonts w:ascii="David" w:hAnsi="David" w:hint="cs"/>
          <w:rtl/>
        </w:rPr>
        <w:t>,</w:t>
      </w:r>
      <w:r w:rsidR="00643C53">
        <w:rPr>
          <w:rFonts w:ascii="David" w:hAnsi="David" w:hint="cs"/>
          <w:rtl/>
        </w:rPr>
        <w:t xml:space="preserve"> </w:t>
      </w:r>
      <w:r>
        <w:rPr>
          <w:rFonts w:ascii="David" w:hAnsi="David"/>
          <w:rtl/>
        </w:rPr>
        <w:t xml:space="preserve">אין בסיס לטענתו כי הנכס אינו ניתן להריסה. במסגרת חקירת העורר הוצגה החלטת וועדת שימור בעניין המקרקעין, שקובעת כי יש צורך לשמר רק את שתי החזיתות (עמוד 19 </w:t>
      </w:r>
      <w:r w:rsidR="00643C53">
        <w:rPr>
          <w:rFonts w:ascii="David" w:hAnsi="David"/>
          <w:rtl/>
        </w:rPr>
        <w:t>לפרוטוקול</w:t>
      </w:r>
      <w:r w:rsidR="00B96768">
        <w:rPr>
          <w:rFonts w:ascii="David" w:hAnsi="David" w:hint="cs"/>
          <w:rtl/>
        </w:rPr>
        <w:t>,</w:t>
      </w:r>
      <w:r w:rsidR="00643C53">
        <w:rPr>
          <w:rFonts w:ascii="David" w:hAnsi="David"/>
          <w:rtl/>
        </w:rPr>
        <w:t xml:space="preserve"> </w:t>
      </w:r>
      <w:r>
        <w:rPr>
          <w:rFonts w:ascii="David" w:hAnsi="David"/>
          <w:rtl/>
        </w:rPr>
        <w:t>שורה 26). ובנוסף, בתיק רישוי הבנייה של עיריית ירושלים ביחס למקרקעין הוגשה בקשה להיתר לתמ"א 3</w:t>
      </w:r>
      <w:r w:rsidR="00693F73">
        <w:rPr>
          <w:rFonts w:ascii="David" w:hAnsi="David" w:hint="cs"/>
          <w:rtl/>
        </w:rPr>
        <w:t>8</w:t>
      </w:r>
      <w:r>
        <w:rPr>
          <w:rFonts w:ascii="David" w:hAnsi="David"/>
          <w:rtl/>
        </w:rPr>
        <w:t xml:space="preserve"> הריסה ובנייה (עמוד </w:t>
      </w:r>
      <w:r w:rsidR="00B96768">
        <w:rPr>
          <w:rFonts w:ascii="David" w:hAnsi="David" w:hint="cs"/>
          <w:rtl/>
        </w:rPr>
        <w:t xml:space="preserve">20 </w:t>
      </w:r>
      <w:r w:rsidR="00643C53">
        <w:rPr>
          <w:rFonts w:ascii="David" w:hAnsi="David"/>
          <w:rtl/>
        </w:rPr>
        <w:t>לפרוטוקול</w:t>
      </w:r>
      <w:r w:rsidR="008D3D1E">
        <w:rPr>
          <w:rFonts w:ascii="David" w:hAnsi="David" w:hint="cs"/>
          <w:rtl/>
        </w:rPr>
        <w:t>,</w:t>
      </w:r>
      <w:r w:rsidR="00643C53">
        <w:rPr>
          <w:rFonts w:ascii="David" w:hAnsi="David"/>
          <w:rtl/>
        </w:rPr>
        <w:t xml:space="preserve"> </w:t>
      </w:r>
      <w:r>
        <w:rPr>
          <w:rFonts w:ascii="David" w:hAnsi="David"/>
          <w:rtl/>
        </w:rPr>
        <w:t>שורה 26</w:t>
      </w:r>
      <w:r w:rsidR="00A231F0">
        <w:rPr>
          <w:rFonts w:ascii="David" w:hAnsi="David" w:hint="cs"/>
          <w:rtl/>
        </w:rPr>
        <w:t>)</w:t>
      </w:r>
      <w:r>
        <w:rPr>
          <w:rFonts w:ascii="David" w:hAnsi="David"/>
          <w:rtl/>
        </w:rPr>
        <w:t>.</w:t>
      </w:r>
    </w:p>
    <w:p w:rsidR="006D68C9" w:rsidRDefault="006D68C9" w:rsidP="001E26AC">
      <w:pPr>
        <w:spacing w:line="360" w:lineRule="auto"/>
        <w:jc w:val="both"/>
        <w:rPr>
          <w:rFonts w:ascii="David" w:hAnsi="David"/>
        </w:rPr>
      </w:pPr>
    </w:p>
    <w:p w:rsidR="006D68C9" w:rsidRDefault="001E26AC" w:rsidP="001E26AC">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Pr>
      </w:pPr>
      <w:r>
        <w:rPr>
          <w:rFonts w:ascii="David" w:hAnsi="David" w:cs="David" w:hint="cs"/>
          <w:color w:val="000000" w:themeColor="text1"/>
          <w:rtl/>
        </w:rPr>
        <w:t xml:space="preserve">הגדרת דירת מגורים מזכה מחייבת </w:t>
      </w:r>
      <w:r w:rsidR="006D68C9">
        <w:rPr>
          <w:rFonts w:ascii="David" w:hAnsi="David" w:cs="David"/>
          <w:color w:val="000000" w:themeColor="text1"/>
          <w:rtl/>
        </w:rPr>
        <w:t>קיומם של שני תנאים מצטברים</w:t>
      </w:r>
      <w:r>
        <w:rPr>
          <w:rFonts w:ascii="David" w:hAnsi="David" w:cs="David" w:hint="cs"/>
          <w:color w:val="000000" w:themeColor="text1"/>
          <w:rtl/>
        </w:rPr>
        <w:t xml:space="preserve">: </w:t>
      </w:r>
      <w:r w:rsidR="006D68C9">
        <w:rPr>
          <w:rFonts w:ascii="David" w:hAnsi="David" w:cs="David"/>
          <w:color w:val="000000" w:themeColor="text1"/>
          <w:rtl/>
        </w:rPr>
        <w:t>על הדירה לעמוד בהגדרת "דירת מגורים", ובנוסף לכך</w:t>
      </w:r>
      <w:r>
        <w:rPr>
          <w:rFonts w:ascii="David" w:hAnsi="David" w:cs="David" w:hint="cs"/>
          <w:color w:val="000000" w:themeColor="text1"/>
          <w:rtl/>
        </w:rPr>
        <w:t>,</w:t>
      </w:r>
      <w:r w:rsidR="006D68C9">
        <w:rPr>
          <w:rFonts w:ascii="David" w:hAnsi="David" w:cs="David"/>
          <w:color w:val="000000" w:themeColor="text1"/>
          <w:rtl/>
        </w:rPr>
        <w:t xml:space="preserve"> בהגדרת "דירת מגורים מזכה". בהינתן אי-קיומו של </w:t>
      </w:r>
      <w:r>
        <w:rPr>
          <w:rFonts w:ascii="David" w:hAnsi="David" w:cs="David" w:hint="cs"/>
          <w:color w:val="000000" w:themeColor="text1"/>
          <w:rtl/>
        </w:rPr>
        <w:t>ה</w:t>
      </w:r>
      <w:r w:rsidR="006D68C9">
        <w:rPr>
          <w:rFonts w:ascii="David" w:hAnsi="David" w:cs="David"/>
          <w:color w:val="000000" w:themeColor="text1"/>
          <w:rtl/>
        </w:rPr>
        <w:t>תנאי</w:t>
      </w:r>
      <w:r>
        <w:rPr>
          <w:rFonts w:ascii="David" w:hAnsi="David" w:cs="David" w:hint="cs"/>
          <w:color w:val="000000" w:themeColor="text1"/>
          <w:rtl/>
        </w:rPr>
        <w:t xml:space="preserve"> הבסיסי</w:t>
      </w:r>
      <w:r w:rsidR="008D3D1E">
        <w:rPr>
          <w:rFonts w:ascii="David" w:hAnsi="David" w:cs="David" w:hint="cs"/>
          <w:color w:val="000000" w:themeColor="text1"/>
          <w:rtl/>
        </w:rPr>
        <w:t>-</w:t>
      </w:r>
      <w:r w:rsidR="006D68C9">
        <w:rPr>
          <w:rFonts w:ascii="David" w:hAnsi="David" w:cs="David"/>
          <w:color w:val="000000" w:themeColor="text1"/>
          <w:rtl/>
        </w:rPr>
        <w:t xml:space="preserve"> "דירת מגורים", אין המבנה יכול להיחשב כ"דירת מגורים מזכה" (ראו לענין זה, פסקה 26 </w:t>
      </w:r>
      <w:r>
        <w:rPr>
          <w:rFonts w:ascii="David" w:hAnsi="David" w:cs="David" w:hint="cs"/>
          <w:color w:val="000000" w:themeColor="text1"/>
          <w:rtl/>
        </w:rPr>
        <w:t>ב</w:t>
      </w:r>
      <w:r w:rsidR="006D68C9">
        <w:rPr>
          <w:rFonts w:ascii="David" w:hAnsi="David" w:cs="David"/>
          <w:color w:val="000000" w:themeColor="text1"/>
          <w:rtl/>
        </w:rPr>
        <w:t xml:space="preserve">עניין </w:t>
      </w:r>
      <w:r w:rsidR="006D68C9">
        <w:rPr>
          <w:rFonts w:ascii="David" w:hAnsi="David" w:cs="David"/>
          <w:b/>
          <w:bCs/>
          <w:color w:val="000000" w:themeColor="text1"/>
          <w:rtl/>
        </w:rPr>
        <w:t>חכים</w:t>
      </w:r>
      <w:r w:rsidR="006D68C9">
        <w:rPr>
          <w:rFonts w:ascii="David" w:hAnsi="David" w:cs="David"/>
          <w:color w:val="000000" w:themeColor="text1"/>
          <w:rtl/>
        </w:rPr>
        <w:t xml:space="preserve">). </w:t>
      </w:r>
    </w:p>
    <w:p w:rsidR="006D68C9" w:rsidRDefault="006D68C9" w:rsidP="006D68C9">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6D68C9" w:rsidRDefault="006D68C9" w:rsidP="001E26AC">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Pr>
      </w:pPr>
      <w:r>
        <w:rPr>
          <w:rFonts w:ascii="David" w:hAnsi="David" w:cs="David"/>
          <w:color w:val="000000" w:themeColor="text1"/>
          <w:rtl/>
        </w:rPr>
        <w:t xml:space="preserve">בענייננו, בכל זאת אציין כי העורר טען כי חלק מהממכר שימש כבית כנסת באופן המהווה שימוש למגורים לפי סעיף 49 המגדיר "דירת מגורים מזכה". טענתו זו של העורר לא הוכחה די הצורך בפני הועדה. על אף שבסעיף 19 לתצהירו, הצהיר העורר כי בית הכנסת שימש באותן שנים ועד היום, במסגרת חקירתו הנגדית אמר כך: </w:t>
      </w:r>
      <w:r>
        <w:rPr>
          <w:rFonts w:ascii="David" w:hAnsi="David" w:cs="David"/>
          <w:b/>
          <w:bCs/>
          <w:color w:val="000000" w:themeColor="text1"/>
          <w:rtl/>
        </w:rPr>
        <w:t>"[...] הוא שימש כבית כנסת אבל לא היה פעיל בתקופה הזאת כי הרסנו אותו. ש. אז בית הכנסת לא היה פעיל? ת. לא.</w:t>
      </w:r>
      <w:r>
        <w:rPr>
          <w:rFonts w:ascii="David" w:hAnsi="David" w:cs="David"/>
          <w:color w:val="000000" w:themeColor="text1"/>
          <w:rtl/>
        </w:rPr>
        <w:t xml:space="preserve">" (עמוד 8 </w:t>
      </w:r>
      <w:r w:rsidR="001E26AC">
        <w:rPr>
          <w:rFonts w:ascii="David" w:hAnsi="David" w:cs="David"/>
          <w:color w:val="000000" w:themeColor="text1"/>
          <w:rtl/>
        </w:rPr>
        <w:t>לפרוטוקול</w:t>
      </w:r>
      <w:r w:rsidR="008D3D1E">
        <w:rPr>
          <w:rFonts w:ascii="David" w:hAnsi="David" w:cs="David" w:hint="cs"/>
          <w:color w:val="000000" w:themeColor="text1"/>
          <w:rtl/>
        </w:rPr>
        <w:t>,</w:t>
      </w:r>
      <w:r w:rsidR="001E26AC">
        <w:rPr>
          <w:rFonts w:ascii="David" w:hAnsi="David" w:cs="David"/>
          <w:color w:val="000000" w:themeColor="text1"/>
          <w:rtl/>
        </w:rPr>
        <w:t xml:space="preserve"> </w:t>
      </w:r>
      <w:r>
        <w:rPr>
          <w:rFonts w:ascii="David" w:hAnsi="David" w:cs="David"/>
          <w:color w:val="000000" w:themeColor="text1"/>
          <w:rtl/>
        </w:rPr>
        <w:t>שורה 24).</w:t>
      </w:r>
      <w:r w:rsidR="00B7226C">
        <w:rPr>
          <w:rFonts w:ascii="David" w:hAnsi="David" w:cs="David" w:hint="cs"/>
          <w:color w:val="000000" w:themeColor="text1"/>
          <w:rtl/>
        </w:rPr>
        <w:t xml:space="preserve"> </w:t>
      </w:r>
    </w:p>
    <w:p w:rsidR="006D68C9" w:rsidRDefault="006D68C9" w:rsidP="006D68C9">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6D68C9" w:rsidRDefault="001E26AC" w:rsidP="001E26AC">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Pr>
      </w:pPr>
      <w:r>
        <w:rPr>
          <w:rFonts w:ascii="David" w:hAnsi="David" w:cs="David" w:hint="cs"/>
          <w:color w:val="000000" w:themeColor="text1"/>
          <w:rtl/>
        </w:rPr>
        <w:t xml:space="preserve">לאור כל האמור </w:t>
      </w:r>
      <w:r w:rsidR="006D68C9">
        <w:rPr>
          <w:rFonts w:ascii="David" w:hAnsi="David" w:cs="David"/>
          <w:color w:val="000000" w:themeColor="text1"/>
          <w:rtl/>
        </w:rPr>
        <w:t xml:space="preserve">מצאתי כי המקרקעין אינם עונים להגדרת "דירת מגורים" </w:t>
      </w:r>
      <w:r>
        <w:rPr>
          <w:rFonts w:ascii="David" w:hAnsi="David" w:cs="David" w:hint="cs"/>
          <w:color w:val="000000" w:themeColor="text1"/>
          <w:rtl/>
        </w:rPr>
        <w:t xml:space="preserve">ולכן אינם עונים להגדרת </w:t>
      </w:r>
      <w:r w:rsidR="006D68C9">
        <w:rPr>
          <w:rFonts w:ascii="David" w:hAnsi="David" w:cs="David"/>
          <w:color w:val="000000" w:themeColor="text1"/>
          <w:rtl/>
        </w:rPr>
        <w:t xml:space="preserve"> "דירת מגורים מזכה" לצורך חישוב לינ</w:t>
      </w:r>
      <w:r>
        <w:rPr>
          <w:rFonts w:ascii="David" w:hAnsi="David" w:cs="David" w:hint="cs"/>
          <w:color w:val="000000" w:themeColor="text1"/>
          <w:rtl/>
        </w:rPr>
        <w:t>י</w:t>
      </w:r>
      <w:r w:rsidR="006D68C9">
        <w:rPr>
          <w:rFonts w:ascii="David" w:hAnsi="David" w:cs="David"/>
          <w:color w:val="000000" w:themeColor="text1"/>
          <w:rtl/>
        </w:rPr>
        <w:t>ארי מוטב לפי סעיף 48א(ב2) לחוק.</w:t>
      </w:r>
    </w:p>
    <w:p w:rsidR="006D68C9" w:rsidRDefault="006D68C9" w:rsidP="006D68C9">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6D68C9" w:rsidRDefault="006D68C9" w:rsidP="006D68C9">
      <w:pPr>
        <w:spacing w:line="360" w:lineRule="auto"/>
        <w:jc w:val="both"/>
        <w:rPr>
          <w:rFonts w:ascii="David" w:hAnsi="David"/>
          <w:noProof w:val="0"/>
          <w:u w:val="single"/>
        </w:rPr>
      </w:pPr>
      <w:r>
        <w:rPr>
          <w:rFonts w:ascii="Arial" w:hAnsi="Arial"/>
          <w:noProof w:val="0"/>
          <w:u w:val="single"/>
          <w:rtl/>
        </w:rPr>
        <w:t>מועד הרכישה של הזכויות במקרקעין</w:t>
      </w:r>
    </w:p>
    <w:p w:rsidR="006D68C9" w:rsidRDefault="006D68C9" w:rsidP="006D68C9">
      <w:pPr>
        <w:pStyle w:val="ae"/>
        <w:numPr>
          <w:ilvl w:val="0"/>
          <w:numId w:val="1"/>
        </w:numPr>
        <w:spacing w:line="360" w:lineRule="auto"/>
        <w:jc w:val="both"/>
        <w:rPr>
          <w:rFonts w:ascii="David" w:hAnsi="David"/>
          <w:noProof w:val="0"/>
          <w:rtl/>
        </w:rPr>
      </w:pPr>
      <w:r>
        <w:rPr>
          <w:rFonts w:ascii="David" w:hAnsi="David"/>
          <w:noProof w:val="0"/>
          <w:rtl/>
        </w:rPr>
        <w:t>לפי סעיף 19 לחוק: "</w:t>
      </w:r>
      <w:r>
        <w:rPr>
          <w:rFonts w:ascii="David" w:hAnsi="David"/>
          <w:b/>
          <w:bCs/>
          <w:noProof w:val="0"/>
          <w:rtl/>
        </w:rPr>
        <w:t>"יום המכירה" או "יום הפעולה" לענין חישוב השבח והמס הוא היום שבו נעשתה המכירה או הפעולה באיגוד</w:t>
      </w:r>
      <w:r>
        <w:rPr>
          <w:rFonts w:ascii="David" w:hAnsi="David"/>
          <w:noProof w:val="0"/>
          <w:rtl/>
        </w:rPr>
        <w:t>".</w:t>
      </w:r>
    </w:p>
    <w:p w:rsidR="006D68C9" w:rsidRDefault="006D68C9" w:rsidP="006D68C9">
      <w:pPr>
        <w:pStyle w:val="ae"/>
        <w:spacing w:line="360" w:lineRule="auto"/>
        <w:jc w:val="both"/>
        <w:rPr>
          <w:rFonts w:ascii="David" w:hAnsi="David"/>
          <w:noProof w:val="0"/>
        </w:rPr>
      </w:pPr>
    </w:p>
    <w:p w:rsidR="006D68C9" w:rsidRDefault="006D68C9" w:rsidP="001E26AC">
      <w:pPr>
        <w:pStyle w:val="ae"/>
        <w:numPr>
          <w:ilvl w:val="0"/>
          <w:numId w:val="1"/>
        </w:numPr>
        <w:spacing w:line="360" w:lineRule="auto"/>
        <w:jc w:val="both"/>
        <w:rPr>
          <w:rFonts w:ascii="David" w:hAnsi="David"/>
          <w:noProof w:val="0"/>
        </w:rPr>
      </w:pPr>
      <w:r>
        <w:rPr>
          <w:rFonts w:ascii="David" w:hAnsi="David"/>
          <w:noProof w:val="0"/>
          <w:rtl/>
        </w:rPr>
        <w:t xml:space="preserve">נהוג לראות ביום המכירה כיום בו </w:t>
      </w:r>
      <w:r w:rsidR="001E26AC">
        <w:rPr>
          <w:rFonts w:ascii="David" w:hAnsi="David" w:hint="cs"/>
          <w:noProof w:val="0"/>
          <w:rtl/>
        </w:rPr>
        <w:t>נכרת</w:t>
      </w:r>
      <w:r>
        <w:rPr>
          <w:rFonts w:ascii="David" w:hAnsi="David"/>
          <w:noProof w:val="0"/>
          <w:rtl/>
        </w:rPr>
        <w:t xml:space="preserve"> הסכם מחייב למכירת הזכות במקרקעין, ושווי הנכס יהיה שוויו במועד זה. בענייננו, הסכם מחייב זה נכרת בין העורר ושותפיו לבין המוכר ביום 24.3.1994.</w:t>
      </w:r>
    </w:p>
    <w:p w:rsidR="006D68C9" w:rsidRDefault="006D68C9" w:rsidP="006D68C9">
      <w:pPr>
        <w:pStyle w:val="ae"/>
        <w:spacing w:line="360" w:lineRule="auto"/>
        <w:jc w:val="both"/>
        <w:rPr>
          <w:rFonts w:ascii="David" w:hAnsi="David"/>
          <w:noProof w:val="0"/>
        </w:rPr>
      </w:pPr>
    </w:p>
    <w:p w:rsidR="006D68C9" w:rsidRDefault="006D68C9" w:rsidP="006D68C9">
      <w:pPr>
        <w:pStyle w:val="ae"/>
        <w:numPr>
          <w:ilvl w:val="0"/>
          <w:numId w:val="1"/>
        </w:numPr>
        <w:spacing w:line="360" w:lineRule="auto"/>
        <w:jc w:val="both"/>
        <w:rPr>
          <w:rFonts w:ascii="David" w:hAnsi="David"/>
          <w:noProof w:val="0"/>
        </w:rPr>
      </w:pPr>
      <w:r>
        <w:rPr>
          <w:rFonts w:ascii="David" w:hAnsi="David"/>
          <w:noProof w:val="0"/>
          <w:rtl/>
        </w:rPr>
        <w:lastRenderedPageBreak/>
        <w:t>לטענת העורר, הסכם הפשרה שנחתם בין הצדדים מהווה הסכם רכישה חדש למקרקעין, מאחר וטרם הסכם הפשרה, לא היה ברור האם ההסכם ייאכף. לחילופין</w:t>
      </w:r>
      <w:r w:rsidR="00FD560C">
        <w:rPr>
          <w:rFonts w:ascii="David" w:hAnsi="David" w:hint="cs"/>
          <w:noProof w:val="0"/>
          <w:rtl/>
        </w:rPr>
        <w:t>,</w:t>
      </w:r>
      <w:r>
        <w:rPr>
          <w:rFonts w:ascii="David" w:hAnsi="David"/>
          <w:noProof w:val="0"/>
          <w:rtl/>
        </w:rPr>
        <w:t xml:space="preserve"> טען העורר כי רק בהסכם הפשרה ניתנה לו הזכות במקרקעין. דין טענות אלו להידחות.</w:t>
      </w:r>
    </w:p>
    <w:p w:rsidR="006D68C9" w:rsidRDefault="006D68C9" w:rsidP="006D68C9">
      <w:pPr>
        <w:pStyle w:val="ae"/>
        <w:spacing w:line="360" w:lineRule="auto"/>
        <w:jc w:val="both"/>
        <w:rPr>
          <w:rFonts w:ascii="David" w:hAnsi="David"/>
          <w:noProof w:val="0"/>
        </w:rPr>
      </w:pPr>
    </w:p>
    <w:p w:rsidR="006D68C9" w:rsidRDefault="006D68C9" w:rsidP="006D68C9">
      <w:pPr>
        <w:pStyle w:val="ae"/>
        <w:numPr>
          <w:ilvl w:val="0"/>
          <w:numId w:val="1"/>
        </w:numPr>
        <w:spacing w:line="360" w:lineRule="auto"/>
        <w:jc w:val="both"/>
        <w:rPr>
          <w:rFonts w:ascii="David" w:hAnsi="David"/>
          <w:noProof w:val="0"/>
        </w:rPr>
      </w:pPr>
      <w:r>
        <w:rPr>
          <w:rFonts w:ascii="David" w:hAnsi="David"/>
          <w:noProof w:val="0"/>
          <w:rtl/>
        </w:rPr>
        <w:t>המוכר הצהיר כי הוא מכר את המקרקעין ביום כריתת ההסכם. מעיון בהסכם הפשרה עולה כי הצדדים מתייחסים למועד כריתת ההסכם כמועד בו הועברה הזכות במקרקעין לעורר ושותפיו: "</w:t>
      </w:r>
      <w:r>
        <w:rPr>
          <w:rFonts w:ascii="David" w:hAnsi="David"/>
          <w:b/>
          <w:bCs/>
          <w:noProof w:val="0"/>
          <w:rtl/>
        </w:rPr>
        <w:t>ביום 27.1994 נחתם הסכם לפיו התובע מכר לנתבעים את כל הזכויות בנכס [...]</w:t>
      </w:r>
      <w:r>
        <w:rPr>
          <w:rFonts w:ascii="David" w:hAnsi="David"/>
          <w:noProof w:val="0"/>
          <w:rtl/>
        </w:rPr>
        <w:t>".</w:t>
      </w:r>
    </w:p>
    <w:p w:rsidR="006D68C9" w:rsidRDefault="006D68C9" w:rsidP="006D68C9">
      <w:pPr>
        <w:pStyle w:val="ae"/>
        <w:spacing w:line="360" w:lineRule="auto"/>
        <w:jc w:val="both"/>
        <w:rPr>
          <w:rFonts w:ascii="David" w:hAnsi="David"/>
          <w:noProof w:val="0"/>
        </w:rPr>
      </w:pPr>
    </w:p>
    <w:p w:rsidR="006D68C9" w:rsidRPr="00FD560C" w:rsidRDefault="006D68C9" w:rsidP="007464FB">
      <w:pPr>
        <w:pStyle w:val="ae"/>
        <w:numPr>
          <w:ilvl w:val="0"/>
          <w:numId w:val="1"/>
        </w:numPr>
        <w:spacing w:line="360" w:lineRule="auto"/>
        <w:jc w:val="both"/>
        <w:rPr>
          <w:rFonts w:ascii="David" w:hAnsi="David"/>
          <w:noProof w:val="0"/>
        </w:rPr>
      </w:pPr>
      <w:r>
        <w:rPr>
          <w:rFonts w:ascii="David" w:hAnsi="David"/>
          <w:noProof w:val="0"/>
          <w:rtl/>
        </w:rPr>
        <w:t xml:space="preserve">יצוין כי במסגרת הסכם הפשרה האמור, הסכימו הצדדים על תשלום יתרת הכספים שהיה על העורר </w:t>
      </w:r>
      <w:r w:rsidR="007464FB">
        <w:rPr>
          <w:rFonts w:ascii="David" w:hAnsi="David" w:hint="cs"/>
          <w:noProof w:val="0"/>
          <w:rtl/>
        </w:rPr>
        <w:t>ו</w:t>
      </w:r>
      <w:r>
        <w:rPr>
          <w:rFonts w:ascii="David" w:hAnsi="David"/>
          <w:noProof w:val="0"/>
          <w:rtl/>
        </w:rPr>
        <w:t xml:space="preserve">שותפיו לשלם למוכר לשם השלמת העסקה. ברי כי לא מדובר בהסכם חדש למכירת המקרקעין אלא אך </w:t>
      </w:r>
      <w:r w:rsidR="00DA4805">
        <w:rPr>
          <w:rFonts w:ascii="David" w:hAnsi="David" w:hint="cs"/>
          <w:noProof w:val="0"/>
          <w:rtl/>
        </w:rPr>
        <w:t xml:space="preserve">ורק </w:t>
      </w:r>
      <w:r>
        <w:rPr>
          <w:rFonts w:ascii="David" w:hAnsi="David"/>
          <w:noProof w:val="0"/>
          <w:rtl/>
        </w:rPr>
        <w:t>באופן הסדרת תשלום יתרת התמורה בגין הרכישה בשנת 1994.</w:t>
      </w:r>
      <w:r w:rsidR="00FD560C" w:rsidRPr="00FD560C">
        <w:rPr>
          <w:rFonts w:ascii="David" w:hAnsi="David"/>
          <w:noProof w:val="0"/>
          <w:rtl/>
        </w:rPr>
        <w:t xml:space="preserve"> </w:t>
      </w:r>
      <w:r w:rsidR="00FD560C">
        <w:rPr>
          <w:rFonts w:ascii="David" w:hAnsi="David"/>
          <w:noProof w:val="0"/>
          <w:rtl/>
        </w:rPr>
        <w:t xml:space="preserve">העולה מן האמור הוא כי יום הרכישה הוא המועד שבו נכרת ההסכם בין הצדדים, </w:t>
      </w:r>
      <w:r w:rsidR="00FA09A2">
        <w:rPr>
          <w:rFonts w:ascii="David" w:hAnsi="David" w:hint="cs"/>
          <w:noProof w:val="0"/>
          <w:rtl/>
        </w:rPr>
        <w:t>ב</w:t>
      </w:r>
      <w:r w:rsidR="00FD560C">
        <w:rPr>
          <w:rFonts w:ascii="David" w:hAnsi="David"/>
          <w:noProof w:val="0"/>
          <w:rtl/>
        </w:rPr>
        <w:t>יום 24.3.1994.</w:t>
      </w:r>
      <w:r w:rsidR="007464FB">
        <w:rPr>
          <w:rFonts w:ascii="David" w:hAnsi="David" w:hint="cs"/>
          <w:noProof w:val="0"/>
          <w:rtl/>
        </w:rPr>
        <w:t xml:space="preserve"> העולה מן האמור הוא, כי יום הרכישה הוא המועד שבו נכרת הסכם המכר בין הצדדים ביום 24.3.1994.</w:t>
      </w:r>
    </w:p>
    <w:p w:rsidR="006D68C9" w:rsidRDefault="006D68C9" w:rsidP="006D68C9">
      <w:pPr>
        <w:pStyle w:val="ae"/>
        <w:spacing w:line="360" w:lineRule="auto"/>
        <w:jc w:val="both"/>
        <w:rPr>
          <w:rFonts w:ascii="David" w:hAnsi="David"/>
          <w:noProof w:val="0"/>
        </w:rPr>
      </w:pPr>
    </w:p>
    <w:p w:rsidR="006D68C9" w:rsidRDefault="006D68C9" w:rsidP="006D68C9">
      <w:pPr>
        <w:spacing w:line="360" w:lineRule="auto"/>
        <w:jc w:val="both"/>
        <w:rPr>
          <w:rFonts w:ascii="David" w:hAnsi="David"/>
          <w:noProof w:val="0"/>
          <w:u w:val="single"/>
          <w:rtl/>
        </w:rPr>
      </w:pPr>
      <w:r>
        <w:rPr>
          <w:rFonts w:ascii="David" w:hAnsi="David"/>
          <w:noProof w:val="0"/>
          <w:u w:val="single"/>
          <w:rtl/>
        </w:rPr>
        <w:t>עבודה עצמית של העורר</w:t>
      </w:r>
    </w:p>
    <w:p w:rsidR="006D68C9" w:rsidRDefault="006D68C9" w:rsidP="006D68C9">
      <w:pPr>
        <w:spacing w:line="360" w:lineRule="auto"/>
        <w:jc w:val="both"/>
        <w:rPr>
          <w:rFonts w:ascii="FrankRuehl" w:hAnsi="FrankRuehl" w:cs="FrankRuehl"/>
          <w:color w:val="000000"/>
          <w:sz w:val="26"/>
          <w:szCs w:val="26"/>
          <w:rtl/>
        </w:rPr>
      </w:pPr>
    </w:p>
    <w:p w:rsidR="006D68C9" w:rsidRDefault="006D68C9" w:rsidP="006D68C9">
      <w:pPr>
        <w:pStyle w:val="ae"/>
        <w:numPr>
          <w:ilvl w:val="0"/>
          <w:numId w:val="1"/>
        </w:numPr>
        <w:spacing w:line="360" w:lineRule="auto"/>
        <w:jc w:val="both"/>
        <w:rPr>
          <w:rFonts w:ascii="David" w:hAnsi="David"/>
          <w:noProof w:val="0"/>
          <w:rtl/>
        </w:rPr>
      </w:pPr>
      <w:r>
        <w:rPr>
          <w:rFonts w:ascii="David" w:hAnsi="David"/>
          <w:noProof w:val="0"/>
          <w:rtl/>
        </w:rPr>
        <w:t xml:space="preserve">סעיף 39(1) </w:t>
      </w:r>
      <w:r w:rsidR="00FD560C">
        <w:rPr>
          <w:rFonts w:ascii="David" w:hAnsi="David" w:hint="cs"/>
          <w:noProof w:val="0"/>
          <w:rtl/>
        </w:rPr>
        <w:t xml:space="preserve">לחוק </w:t>
      </w:r>
      <w:r>
        <w:rPr>
          <w:rFonts w:ascii="David" w:hAnsi="David"/>
          <w:noProof w:val="0"/>
          <w:rtl/>
        </w:rPr>
        <w:t>קובע כך:</w:t>
      </w:r>
    </w:p>
    <w:p w:rsidR="006D68C9" w:rsidRDefault="006D68C9" w:rsidP="006D68C9">
      <w:pPr>
        <w:pStyle w:val="ae"/>
        <w:spacing w:line="360" w:lineRule="auto"/>
        <w:jc w:val="both"/>
        <w:rPr>
          <w:rFonts w:ascii="David" w:hAnsi="David"/>
          <w:noProof w:val="0"/>
        </w:rPr>
      </w:pPr>
    </w:p>
    <w:p w:rsidR="006D68C9" w:rsidRDefault="006D68C9" w:rsidP="006D68C9">
      <w:pPr>
        <w:pStyle w:val="ae"/>
        <w:spacing w:line="360" w:lineRule="auto"/>
        <w:ind w:left="1440"/>
        <w:jc w:val="both"/>
        <w:rPr>
          <w:rFonts w:ascii="David" w:hAnsi="David"/>
          <w:noProof w:val="0"/>
        </w:rPr>
      </w:pPr>
      <w:r>
        <w:rPr>
          <w:rFonts w:ascii="David" w:hAnsi="David"/>
          <w:noProof w:val="0"/>
          <w:rtl/>
        </w:rPr>
        <w:t xml:space="preserve">"כל ההוצאות שהוציא המוכר מיום הרכישה ועד ליום המכירה, לשם השבחתם של המקרקעין שהזכות בהם נמכרת; ולענין זה </w:t>
      </w:r>
      <w:r>
        <w:rPr>
          <w:rFonts w:ascii="David" w:hAnsi="David"/>
          <w:b/>
          <w:bCs/>
          <w:noProof w:val="0"/>
          <w:rtl/>
        </w:rPr>
        <w:t>יראו כהוצאה גם שוויה המוערך של עבודה, שהוכח למנהל שעבדו בעל הזכות במקרקעין וקרוביו להשבחת המקרקעין</w:t>
      </w:r>
      <w:r>
        <w:rPr>
          <w:rFonts w:ascii="David" w:hAnsi="David"/>
          <w:noProof w:val="0"/>
          <w:rtl/>
        </w:rPr>
        <w:t>, אם התמורה בעד אותה עבודה - אילו היתה משתלמת - לא היתה ניתנת לניכוי לפי סעיף 32(4) לפקודת מס הכנסה</w:t>
      </w:r>
      <w:r>
        <w:rPr>
          <w:rFonts w:ascii="David" w:hAnsi="David"/>
          <w:noProof w:val="0"/>
        </w:rPr>
        <w:t>;</w:t>
      </w:r>
      <w:r>
        <w:rPr>
          <w:rFonts w:ascii="David" w:hAnsi="David"/>
          <w:noProof w:val="0"/>
          <w:rtl/>
        </w:rPr>
        <w:t>"</w:t>
      </w:r>
    </w:p>
    <w:p w:rsidR="006D68C9" w:rsidRDefault="006D68C9" w:rsidP="006D68C9">
      <w:pPr>
        <w:pStyle w:val="ae"/>
        <w:spacing w:line="360" w:lineRule="auto"/>
        <w:jc w:val="both"/>
        <w:rPr>
          <w:rFonts w:ascii="David" w:hAnsi="David"/>
          <w:noProof w:val="0"/>
          <w:rtl/>
        </w:rPr>
      </w:pPr>
    </w:p>
    <w:p w:rsidR="006D68C9" w:rsidRDefault="006D68C9" w:rsidP="00FD560C">
      <w:pPr>
        <w:pStyle w:val="ae"/>
        <w:numPr>
          <w:ilvl w:val="0"/>
          <w:numId w:val="1"/>
        </w:numPr>
        <w:spacing w:line="360" w:lineRule="auto"/>
        <w:jc w:val="both"/>
        <w:rPr>
          <w:rFonts w:ascii="David" w:hAnsi="David"/>
          <w:noProof w:val="0"/>
          <w:u w:val="single"/>
          <w:rtl/>
        </w:rPr>
      </w:pPr>
      <w:r>
        <w:rPr>
          <w:rFonts w:ascii="David" w:hAnsi="David"/>
          <w:noProof w:val="0"/>
          <w:rtl/>
        </w:rPr>
        <w:t>העורר טען כי יש להכיר בהשקעתו</w:t>
      </w:r>
      <w:r w:rsidR="00FD560C">
        <w:rPr>
          <w:rFonts w:ascii="David" w:hAnsi="David" w:hint="cs"/>
          <w:noProof w:val="0"/>
          <w:rtl/>
        </w:rPr>
        <w:t xml:space="preserve"> בנכס</w:t>
      </w:r>
      <w:r>
        <w:rPr>
          <w:rFonts w:ascii="David" w:hAnsi="David"/>
          <w:noProof w:val="0"/>
          <w:rtl/>
        </w:rPr>
        <w:t xml:space="preserve"> ובחסרון הכיס שנוצר לו עקב פעולות שונות שביצע </w:t>
      </w:r>
      <w:r w:rsidR="007464FB">
        <w:rPr>
          <w:rFonts w:ascii="David" w:hAnsi="David" w:hint="cs"/>
          <w:noProof w:val="0"/>
          <w:rtl/>
        </w:rPr>
        <w:t>בו</w:t>
      </w:r>
      <w:r>
        <w:rPr>
          <w:rFonts w:ascii="David" w:hAnsi="David"/>
          <w:noProof w:val="0"/>
          <w:rtl/>
        </w:rPr>
        <w:t xml:space="preserve"> או בהקשרו, במטרה להשביח את ערכו. אולם, מהחומר שבפניי לא מצאתי ביסוס לאותן העבודות שביצע העורר לצורך השבחת המקרקעין או תיעוד המצביע על מועד ביצוע העבודות הנטענות. בהלימה, העורר לא סיפק כל אומדן או ראיות לצורך העבודה שביצע לכאורה. למותר לציין כי הנטל בהוכחת הוצאה המותרת בניכוי ושיש בה כדי להשביח את המקרקעין, מוטל על הנישום מבקש הניכוי. אין ספק כי העורר לא עמד בנטל האמור בענייננו- לא בהוכחת העבודות שביצע ושווין ולא בהוכחה כי אלו אכן השביחו את המקרקעין ותרמו לעליית ערכם.</w:t>
      </w:r>
    </w:p>
    <w:p w:rsidR="006D68C9" w:rsidRDefault="006D68C9" w:rsidP="006D68C9">
      <w:pPr>
        <w:pStyle w:val="ae"/>
        <w:spacing w:line="360" w:lineRule="auto"/>
        <w:jc w:val="both"/>
        <w:rPr>
          <w:rFonts w:ascii="David" w:hAnsi="David"/>
          <w:noProof w:val="0"/>
          <w:u w:val="single"/>
        </w:rPr>
      </w:pPr>
    </w:p>
    <w:p w:rsidR="006D68C9" w:rsidRDefault="006D68C9" w:rsidP="00E90DE1">
      <w:pPr>
        <w:pStyle w:val="ae"/>
        <w:numPr>
          <w:ilvl w:val="0"/>
          <w:numId w:val="1"/>
        </w:numPr>
        <w:spacing w:line="360" w:lineRule="auto"/>
        <w:jc w:val="both"/>
        <w:rPr>
          <w:rFonts w:ascii="David" w:hAnsi="David"/>
          <w:noProof w:val="0"/>
        </w:rPr>
      </w:pPr>
      <w:r>
        <w:rPr>
          <w:rFonts w:ascii="David" w:hAnsi="David"/>
          <w:noProof w:val="0"/>
          <w:rtl/>
        </w:rPr>
        <w:lastRenderedPageBreak/>
        <w:t>די בדברים אלו בכדי לדחות את טענת העורר לניכוי</w:t>
      </w:r>
      <w:r w:rsidR="007464FB">
        <w:rPr>
          <w:rFonts w:ascii="David" w:hAnsi="David" w:hint="cs"/>
          <w:noProof w:val="0"/>
          <w:rtl/>
        </w:rPr>
        <w:t xml:space="preserve"> שווי</w:t>
      </w:r>
      <w:r>
        <w:rPr>
          <w:rFonts w:ascii="David" w:hAnsi="David"/>
          <w:noProof w:val="0"/>
          <w:rtl/>
        </w:rPr>
        <w:t xml:space="preserve"> עבודתו העצמית מהשבח. </w:t>
      </w:r>
      <w:r w:rsidR="0008204B">
        <w:rPr>
          <w:rFonts w:ascii="David" w:hAnsi="David" w:hint="cs"/>
          <w:noProof w:val="0"/>
          <w:rtl/>
        </w:rPr>
        <w:t xml:space="preserve">יש </w:t>
      </w:r>
      <w:r>
        <w:rPr>
          <w:rFonts w:ascii="David" w:hAnsi="David"/>
          <w:noProof w:val="0"/>
          <w:rtl/>
        </w:rPr>
        <w:t>להתייחס לטענה נוספת שהעלה העורר, לפיה עצם העובדה שקיבל מתמורת המכירה חלק גדול יותר מהחלק שקבלו שותפיו, מוכיחה כי הוא פעל להשבחת המקרקעין במהלך השנים. טע</w:t>
      </w:r>
      <w:r w:rsidR="008D7571">
        <w:rPr>
          <w:rFonts w:ascii="David" w:hAnsi="David"/>
          <w:noProof w:val="0"/>
          <w:rtl/>
        </w:rPr>
        <w:t xml:space="preserve">נה זאת אינה מתקבלת. </w:t>
      </w:r>
      <w:r>
        <w:rPr>
          <w:rFonts w:ascii="David" w:hAnsi="David"/>
          <w:noProof w:val="0"/>
          <w:rtl/>
        </w:rPr>
        <w:t xml:space="preserve">מסתבר יותר כי ההפרש בחלוקת התמורה מהמכירה </w:t>
      </w:r>
      <w:r w:rsidR="008D7571">
        <w:rPr>
          <w:rFonts w:ascii="David" w:hAnsi="David" w:hint="cs"/>
          <w:noProof w:val="0"/>
          <w:rtl/>
        </w:rPr>
        <w:t>נובע מכך</w:t>
      </w:r>
      <w:r w:rsidR="00E90DE1">
        <w:rPr>
          <w:rFonts w:ascii="David" w:hAnsi="David" w:hint="eastAsia"/>
          <w:noProof w:val="0"/>
          <w:rtl/>
        </w:rPr>
        <w:t> </w:t>
      </w:r>
      <w:r w:rsidR="00E90DE1">
        <w:rPr>
          <w:rFonts w:ascii="David" w:hAnsi="David" w:hint="cs"/>
          <w:noProof w:val="0"/>
          <w:rtl/>
        </w:rPr>
        <w:t>ש</w:t>
      </w:r>
      <w:r>
        <w:rPr>
          <w:rFonts w:ascii="David" w:hAnsi="David"/>
          <w:noProof w:val="0"/>
          <w:rtl/>
        </w:rPr>
        <w:t xml:space="preserve">העורר סירב למכור את הנכס בעוד שותפיו הסכימו אחרת. כך עולה כי אין בחלוקה המתוארת כדי להוכיח כי העורר השקיע יותר משותפיו בעסקה. </w:t>
      </w:r>
      <w:r w:rsidR="00E90DE1">
        <w:rPr>
          <w:rFonts w:ascii="David" w:hAnsi="David" w:hint="cs"/>
          <w:noProof w:val="0"/>
          <w:rtl/>
        </w:rPr>
        <w:t>היה על העורר להביא את שותפיו לעדות, כדי לבסס את טענתו. הימנעותו מהבאת השותפים לעדות עומדת בעוכריו.</w:t>
      </w:r>
      <w:r w:rsidR="003F1784">
        <w:rPr>
          <w:rFonts w:ascii="David" w:hAnsi="David" w:hint="cs"/>
          <w:noProof w:val="0"/>
          <w:rtl/>
        </w:rPr>
        <w:t xml:space="preserve"> נקבע בפסיקה כי </w:t>
      </w:r>
      <w:r w:rsidR="003F1784" w:rsidRPr="007464FB">
        <w:rPr>
          <w:rFonts w:ascii="David" w:hAnsi="David" w:hint="cs"/>
          <w:noProof w:val="0"/>
          <w:rtl/>
        </w:rPr>
        <w:t>אי הבאתו של עד רלוואנטי מעוררת, מדרך הטבע, את החשד, כי יש דברים</w:t>
      </w:r>
      <w:r w:rsidR="003F1784">
        <w:rPr>
          <w:rFonts w:ascii="David" w:hAnsi="David" w:hint="cs"/>
          <w:b/>
          <w:bCs/>
          <w:noProof w:val="0"/>
          <w:rtl/>
        </w:rPr>
        <w:t xml:space="preserve"> </w:t>
      </w:r>
      <w:r w:rsidR="003F1784" w:rsidRPr="007464FB">
        <w:rPr>
          <w:rFonts w:ascii="David" w:hAnsi="David" w:hint="cs"/>
          <w:noProof w:val="0"/>
          <w:rtl/>
        </w:rPr>
        <w:t>בגו וכי בעל הדין שנמנע מהבאתו, חושש מעדותו ומחשיפתו לחקרה שכנגד</w:t>
      </w:r>
      <w:r w:rsidR="003F1784">
        <w:rPr>
          <w:rFonts w:ascii="David" w:hAnsi="David" w:hint="cs"/>
          <w:b/>
          <w:bCs/>
          <w:noProof w:val="0"/>
          <w:rtl/>
        </w:rPr>
        <w:t xml:space="preserve">. </w:t>
      </w:r>
      <w:r w:rsidR="003F1784">
        <w:rPr>
          <w:rFonts w:ascii="David" w:hAnsi="David" w:hint="cs"/>
          <w:noProof w:val="0"/>
          <w:rtl/>
        </w:rPr>
        <w:t xml:space="preserve">ראו בעניין זה את: ע"א 256/17 </w:t>
      </w:r>
      <w:r w:rsidR="003F1784">
        <w:rPr>
          <w:rFonts w:ascii="David" w:hAnsi="David" w:hint="cs"/>
          <w:b/>
          <w:bCs/>
          <w:noProof w:val="0"/>
          <w:rtl/>
        </w:rPr>
        <w:t>הרשקוביץ נ'</w:t>
      </w:r>
      <w:r w:rsidR="003F1784">
        <w:rPr>
          <w:rFonts w:ascii="David" w:hAnsi="David" w:hint="cs"/>
          <w:noProof w:val="0"/>
          <w:rtl/>
        </w:rPr>
        <w:t xml:space="preserve"> </w:t>
      </w:r>
      <w:r w:rsidR="003F1784" w:rsidRPr="00E90DE1">
        <w:rPr>
          <w:rFonts w:ascii="David" w:hAnsi="David" w:hint="cs"/>
          <w:b/>
          <w:bCs/>
          <w:noProof w:val="0"/>
          <w:rtl/>
        </w:rPr>
        <w:t xml:space="preserve">מדינת ישראל </w:t>
      </w:r>
      <w:r w:rsidR="003F1784" w:rsidRPr="00E90DE1">
        <w:rPr>
          <w:rFonts w:ascii="David" w:hAnsi="David"/>
          <w:b/>
          <w:bCs/>
          <w:noProof w:val="0"/>
          <w:rtl/>
        </w:rPr>
        <w:t>–</w:t>
      </w:r>
      <w:r w:rsidR="003F1784" w:rsidRPr="00E90DE1">
        <w:rPr>
          <w:rFonts w:ascii="David" w:hAnsi="David" w:hint="cs"/>
          <w:b/>
          <w:bCs/>
          <w:noProof w:val="0"/>
          <w:rtl/>
        </w:rPr>
        <w:t xml:space="preserve"> רשות המיסים, אגף המכס והמע"מ</w:t>
      </w:r>
      <w:r w:rsidR="003F1784">
        <w:rPr>
          <w:rFonts w:ascii="David" w:hAnsi="David" w:hint="cs"/>
          <w:noProof w:val="0"/>
          <w:rtl/>
        </w:rPr>
        <w:t xml:space="preserve">, פסקה 15 לפסק דינו של השופט ד' מינץ (18.8.2019); ע"א 8294/14 </w:t>
      </w:r>
      <w:r w:rsidR="003F1784">
        <w:rPr>
          <w:rFonts w:ascii="David" w:hAnsi="David" w:hint="cs"/>
          <w:b/>
          <w:bCs/>
          <w:noProof w:val="0"/>
          <w:rtl/>
        </w:rPr>
        <w:t>רוני גנגינה נ' פקיד שומה פתח תקוה</w:t>
      </w:r>
      <w:r w:rsidR="003F1784">
        <w:rPr>
          <w:rFonts w:ascii="David" w:hAnsi="David" w:hint="cs"/>
          <w:noProof w:val="0"/>
          <w:rtl/>
        </w:rPr>
        <w:t>, פסקה 25 לפסק דינו של השופט י' עמית (20.3.2018).</w:t>
      </w:r>
    </w:p>
    <w:p w:rsidR="00E90DE1" w:rsidRDefault="00E90DE1" w:rsidP="00E90DE1">
      <w:pPr>
        <w:pStyle w:val="ae"/>
        <w:rPr>
          <w:rFonts w:ascii="David" w:hAnsi="David"/>
          <w:noProof w:val="0"/>
          <w:rtl/>
        </w:rPr>
      </w:pPr>
    </w:p>
    <w:p w:rsidR="00E90DE1" w:rsidRDefault="00E90DE1" w:rsidP="00E90DE1">
      <w:pPr>
        <w:pStyle w:val="ae"/>
        <w:rPr>
          <w:rFonts w:ascii="David" w:hAnsi="David"/>
          <w:noProof w:val="0"/>
          <w:rtl/>
        </w:rPr>
      </w:pPr>
      <w:r w:rsidRPr="00E90DE1">
        <w:rPr>
          <w:rFonts w:ascii="David" w:hAnsi="David" w:hint="cs"/>
          <w:noProof w:val="0"/>
          <w:u w:val="single"/>
          <w:rtl/>
        </w:rPr>
        <w:t xml:space="preserve">סכום הפשרה </w:t>
      </w:r>
      <w:r w:rsidRPr="00E90DE1">
        <w:rPr>
          <w:rFonts w:ascii="David" w:hAnsi="David"/>
          <w:noProof w:val="0"/>
          <w:u w:val="single"/>
          <w:rtl/>
        </w:rPr>
        <w:t>–</w:t>
      </w:r>
      <w:r w:rsidRPr="00E90DE1">
        <w:rPr>
          <w:rFonts w:ascii="David" w:hAnsi="David" w:hint="cs"/>
          <w:noProof w:val="0"/>
          <w:u w:val="single"/>
          <w:rtl/>
        </w:rPr>
        <w:t xml:space="preserve"> מותר בניכוי</w:t>
      </w:r>
      <w:r>
        <w:rPr>
          <w:rFonts w:ascii="David" w:hAnsi="David" w:hint="cs"/>
          <w:noProof w:val="0"/>
          <w:rtl/>
        </w:rPr>
        <w:t>?</w:t>
      </w:r>
    </w:p>
    <w:p w:rsidR="00105635" w:rsidRPr="00E90DE1" w:rsidRDefault="00105635" w:rsidP="00E90DE1">
      <w:pPr>
        <w:pStyle w:val="ae"/>
        <w:rPr>
          <w:rFonts w:ascii="David" w:hAnsi="David"/>
          <w:noProof w:val="0"/>
          <w:rtl/>
        </w:rPr>
      </w:pPr>
    </w:p>
    <w:p w:rsidR="00E90DE1" w:rsidRDefault="00E90DE1" w:rsidP="003F1784">
      <w:pPr>
        <w:pStyle w:val="ae"/>
        <w:numPr>
          <w:ilvl w:val="0"/>
          <w:numId w:val="1"/>
        </w:numPr>
        <w:spacing w:line="360" w:lineRule="auto"/>
        <w:jc w:val="both"/>
        <w:rPr>
          <w:rFonts w:ascii="David" w:hAnsi="David"/>
          <w:noProof w:val="0"/>
        </w:rPr>
      </w:pPr>
      <w:r>
        <w:rPr>
          <w:rFonts w:ascii="David" w:hAnsi="David" w:hint="cs"/>
          <w:noProof w:val="0"/>
          <w:rtl/>
        </w:rPr>
        <w:t>העורר טען כי יש להתיר לו את סכום הפשרה כהוצאה המותרת בניכוי מהשבח. בתצהיר העורר נטען כי העורר ושותפיו הסכימו בהסכם הפשרה לשלם סכום נוסף של 50,000 ₪ למוכר, על מנת לסיים</w:t>
      </w:r>
      <w:r w:rsidR="007464FB">
        <w:rPr>
          <w:rFonts w:ascii="David" w:hAnsi="David" w:hint="cs"/>
          <w:noProof w:val="0"/>
          <w:rtl/>
        </w:rPr>
        <w:t xml:space="preserve"> את המחלוקת ולקבל את החזקה בנכס</w:t>
      </w:r>
      <w:r>
        <w:rPr>
          <w:rFonts w:ascii="David" w:hAnsi="David" w:hint="cs"/>
          <w:noProof w:val="0"/>
          <w:rtl/>
        </w:rPr>
        <w:t xml:space="preserve"> (הסכם הפשרה צורף כנספח ב' לתצהיר העורר). </w:t>
      </w:r>
    </w:p>
    <w:p w:rsidR="00E90DE1" w:rsidRDefault="00E90DE1" w:rsidP="00E90DE1">
      <w:pPr>
        <w:pStyle w:val="ae"/>
        <w:spacing w:line="360" w:lineRule="auto"/>
        <w:jc w:val="both"/>
        <w:rPr>
          <w:rFonts w:ascii="David" w:hAnsi="David"/>
          <w:noProof w:val="0"/>
          <w:rtl/>
        </w:rPr>
      </w:pPr>
    </w:p>
    <w:p w:rsidR="00E90DE1" w:rsidRDefault="00E90DE1" w:rsidP="00E90DE1">
      <w:pPr>
        <w:pStyle w:val="ae"/>
        <w:numPr>
          <w:ilvl w:val="0"/>
          <w:numId w:val="1"/>
        </w:numPr>
        <w:spacing w:line="360" w:lineRule="auto"/>
        <w:jc w:val="both"/>
        <w:rPr>
          <w:rFonts w:ascii="David" w:hAnsi="David"/>
          <w:noProof w:val="0"/>
        </w:rPr>
      </w:pPr>
      <w:r>
        <w:rPr>
          <w:rFonts w:ascii="David" w:hAnsi="David" w:hint="cs"/>
          <w:noProof w:val="0"/>
          <w:rtl/>
        </w:rPr>
        <w:t>סעיף 39 לחוק מציין כי:</w:t>
      </w:r>
    </w:p>
    <w:p w:rsidR="00E90DE1" w:rsidRPr="00E90DE1" w:rsidRDefault="00E90DE1" w:rsidP="00E90DE1">
      <w:pPr>
        <w:pStyle w:val="ae"/>
        <w:rPr>
          <w:rFonts w:ascii="David" w:hAnsi="David"/>
          <w:noProof w:val="0"/>
          <w:rtl/>
        </w:rPr>
      </w:pPr>
    </w:p>
    <w:p w:rsidR="00E90DE1" w:rsidRPr="00B545C3" w:rsidRDefault="00E90DE1" w:rsidP="00E90DE1">
      <w:pPr>
        <w:pStyle w:val="ae"/>
        <w:spacing w:line="360" w:lineRule="auto"/>
        <w:ind w:left="1440"/>
        <w:jc w:val="both"/>
        <w:rPr>
          <w:rFonts w:ascii="David" w:hAnsi="David"/>
          <w:noProof w:val="0"/>
          <w:rtl/>
        </w:rPr>
      </w:pPr>
      <w:r w:rsidRPr="00B545C3">
        <w:rPr>
          <w:rFonts w:ascii="David" w:hAnsi="David" w:hint="cs"/>
          <w:noProof w:val="0"/>
          <w:rtl/>
        </w:rPr>
        <w:t>"לשם קביעת סכום השבח יותרו בניכוי הוצאות שהוצאו לרכישת הזכות במקרקעין או במכירתה, לרבות כל אחד מאלה, אם אינן כלולות בשווי הרכישה ואינן מותרות בניכוי לפי הפקודה..."</w:t>
      </w:r>
    </w:p>
    <w:p w:rsidR="00B8607E" w:rsidRPr="00B545C3" w:rsidRDefault="00B8607E" w:rsidP="00E90DE1">
      <w:pPr>
        <w:pStyle w:val="ae"/>
        <w:spacing w:line="360" w:lineRule="auto"/>
        <w:ind w:left="1440"/>
        <w:jc w:val="both"/>
        <w:rPr>
          <w:rFonts w:ascii="David" w:hAnsi="David"/>
          <w:noProof w:val="0"/>
          <w:rtl/>
        </w:rPr>
      </w:pPr>
    </w:p>
    <w:p w:rsidR="00B8607E" w:rsidRPr="00B545C3" w:rsidRDefault="00B8607E" w:rsidP="00E90DE1">
      <w:pPr>
        <w:pStyle w:val="ae"/>
        <w:spacing w:line="360" w:lineRule="auto"/>
        <w:ind w:left="1440"/>
        <w:jc w:val="both"/>
        <w:rPr>
          <w:rFonts w:ascii="David" w:hAnsi="David"/>
          <w:noProof w:val="0"/>
        </w:rPr>
      </w:pPr>
      <w:r w:rsidRPr="00B545C3">
        <w:rPr>
          <w:rFonts w:ascii="David" w:hAnsi="David" w:hint="cs"/>
          <w:noProof w:val="0"/>
          <w:rtl/>
        </w:rPr>
        <w:t>(7ב) הוצאות שהוציא החוכר או בעל הזכות במקרקעין, לפי הענין, לשם הו</w:t>
      </w:r>
      <w:r w:rsidR="00B545C3">
        <w:rPr>
          <w:rFonts w:ascii="David" w:hAnsi="David" w:hint="cs"/>
          <w:noProof w:val="0"/>
          <w:rtl/>
        </w:rPr>
        <w:t>כחת זכותו במקרקעין;</w:t>
      </w:r>
    </w:p>
    <w:p w:rsidR="006D68C9" w:rsidRDefault="006D68C9" w:rsidP="006D68C9">
      <w:pPr>
        <w:spacing w:line="360" w:lineRule="auto"/>
        <w:jc w:val="both"/>
        <w:rPr>
          <w:rFonts w:ascii="David" w:hAnsi="David"/>
          <w:noProof w:val="0"/>
          <w:u w:val="single"/>
          <w:rtl/>
        </w:rPr>
      </w:pPr>
    </w:p>
    <w:p w:rsidR="00557722" w:rsidRDefault="00557722" w:rsidP="00557722">
      <w:pPr>
        <w:pStyle w:val="ae"/>
        <w:numPr>
          <w:ilvl w:val="0"/>
          <w:numId w:val="1"/>
        </w:numPr>
        <w:spacing w:line="360" w:lineRule="auto"/>
        <w:jc w:val="both"/>
        <w:rPr>
          <w:rFonts w:ascii="David" w:hAnsi="David"/>
          <w:noProof w:val="0"/>
        </w:rPr>
      </w:pPr>
      <w:r w:rsidRPr="00557722">
        <w:rPr>
          <w:rFonts w:ascii="David" w:hAnsi="David" w:hint="cs"/>
          <w:noProof w:val="0"/>
          <w:rtl/>
        </w:rPr>
        <w:t>סבורני</w:t>
      </w:r>
      <w:r>
        <w:rPr>
          <w:rFonts w:ascii="David" w:hAnsi="David" w:hint="cs"/>
          <w:noProof w:val="0"/>
          <w:rtl/>
        </w:rPr>
        <w:t xml:space="preserve"> כי הסכום הנוסף הוא בבחינת הוצאה</w:t>
      </w:r>
      <w:r w:rsidR="00B545C3">
        <w:rPr>
          <w:rFonts w:ascii="David" w:hAnsi="David" w:hint="cs"/>
          <w:noProof w:val="0"/>
          <w:rtl/>
        </w:rPr>
        <w:t xml:space="preserve"> שהוציאו הרוכשים לשם רכישת הזכות</w:t>
      </w:r>
      <w:r>
        <w:rPr>
          <w:rFonts w:ascii="David" w:hAnsi="David" w:hint="cs"/>
          <w:noProof w:val="0"/>
          <w:rtl/>
        </w:rPr>
        <w:t xml:space="preserve"> במקרקעין, אלא שמדובר בהוצאה מטעם שלושת הרוכשים ועל כן, יש להכיר בשליש מסכום זה (16,667 ₪) כהוצאה שהוציא העורר, המותרת בניכוי.</w:t>
      </w:r>
    </w:p>
    <w:p w:rsidR="00557722" w:rsidRPr="00557722" w:rsidRDefault="00557722" w:rsidP="00557722">
      <w:pPr>
        <w:spacing w:line="360" w:lineRule="auto"/>
        <w:jc w:val="both"/>
        <w:rPr>
          <w:rFonts w:ascii="David" w:hAnsi="David"/>
          <w:noProof w:val="0"/>
          <w:rtl/>
        </w:rPr>
      </w:pPr>
    </w:p>
    <w:p w:rsidR="006D68C9" w:rsidRDefault="006D68C9" w:rsidP="006D68C9">
      <w:pPr>
        <w:spacing w:line="360" w:lineRule="auto"/>
        <w:jc w:val="both"/>
        <w:rPr>
          <w:rFonts w:ascii="David" w:hAnsi="David"/>
          <w:noProof w:val="0"/>
          <w:u w:val="single"/>
          <w:rtl/>
        </w:rPr>
      </w:pPr>
      <w:r>
        <w:rPr>
          <w:rFonts w:ascii="David" w:hAnsi="David"/>
          <w:noProof w:val="0"/>
          <w:u w:val="single"/>
          <w:rtl/>
        </w:rPr>
        <w:t>הארכת המועד למתן החלטה בהשגה</w:t>
      </w:r>
    </w:p>
    <w:p w:rsidR="006D68C9" w:rsidRDefault="006D68C9" w:rsidP="006D68C9">
      <w:pPr>
        <w:spacing w:line="360" w:lineRule="auto"/>
        <w:ind w:left="720" w:hanging="720"/>
        <w:jc w:val="both"/>
        <w:rPr>
          <w:rFonts w:ascii="Arial" w:hAnsi="Arial"/>
          <w:b/>
          <w:bCs/>
          <w:noProof w:val="0"/>
          <w:u w:val="single"/>
          <w:rtl/>
        </w:rPr>
      </w:pPr>
    </w:p>
    <w:p w:rsidR="00426354" w:rsidRPr="00426354" w:rsidRDefault="00426354" w:rsidP="0034464C">
      <w:pPr>
        <w:pStyle w:val="ae"/>
        <w:numPr>
          <w:ilvl w:val="0"/>
          <w:numId w:val="1"/>
        </w:numPr>
        <w:spacing w:line="360" w:lineRule="auto"/>
        <w:jc w:val="both"/>
        <w:rPr>
          <w:rFonts w:ascii="David" w:hAnsi="David"/>
          <w:noProof w:val="0"/>
        </w:rPr>
      </w:pPr>
      <w:r w:rsidRPr="00426354">
        <w:rPr>
          <w:rFonts w:ascii="David" w:hAnsi="David"/>
          <w:noProof w:val="0"/>
          <w:rtl/>
        </w:rPr>
        <w:t xml:space="preserve">על פי חוק מיסוי מקרקעין, המועד למתן החלטה בהשגה נקבע בסעיף 87(ד) </w:t>
      </w:r>
      <w:r w:rsidR="0034464C">
        <w:rPr>
          <w:rFonts w:ascii="David" w:hAnsi="David"/>
          <w:noProof w:val="0"/>
          <w:rtl/>
        </w:rPr>
        <w:t>אשר כולל את הסמכות להארכת המועד</w:t>
      </w:r>
      <w:r w:rsidR="0034464C">
        <w:rPr>
          <w:rFonts w:ascii="David" w:hAnsi="David" w:hint="cs"/>
          <w:noProof w:val="0"/>
          <w:rtl/>
        </w:rPr>
        <w:t>, באופן הבא</w:t>
      </w:r>
      <w:r w:rsidRPr="00426354">
        <w:rPr>
          <w:rFonts w:ascii="David" w:hAnsi="David"/>
          <w:noProof w:val="0"/>
          <w:rtl/>
        </w:rPr>
        <w:t>:</w:t>
      </w:r>
    </w:p>
    <w:p w:rsidR="00426354" w:rsidRDefault="00426354" w:rsidP="00426354">
      <w:pPr>
        <w:spacing w:line="360" w:lineRule="auto"/>
        <w:ind w:left="1076" w:right="851"/>
        <w:jc w:val="both"/>
        <w:rPr>
          <w:rFonts w:ascii="David" w:hAnsi="David"/>
          <w:noProof w:val="0"/>
          <w:rtl/>
        </w:rPr>
      </w:pPr>
      <w:r>
        <w:rPr>
          <w:rFonts w:ascii="David" w:hAnsi="David"/>
          <w:noProof w:val="0"/>
          <w:rtl/>
        </w:rPr>
        <w:t xml:space="preserve"> </w:t>
      </w:r>
    </w:p>
    <w:p w:rsidR="00426354" w:rsidRDefault="00426354" w:rsidP="00426354">
      <w:pPr>
        <w:spacing w:line="360" w:lineRule="auto"/>
        <w:ind w:left="1076" w:right="851"/>
        <w:jc w:val="both"/>
        <w:rPr>
          <w:rFonts w:ascii="David" w:hAnsi="David"/>
          <w:noProof w:val="0"/>
          <w:rtl/>
        </w:rPr>
      </w:pPr>
      <w:r>
        <w:rPr>
          <w:rFonts w:ascii="David" w:hAnsi="David"/>
          <w:noProof w:val="0"/>
          <w:rtl/>
        </w:rPr>
        <w:t>"87(ד)  המנהל ייתן למשיג את החלטתו המנומקת בכתב בתוך שמונה חודשים מיום שנמסרה לו הודעת ההשגה...; המנהל יהיה רשאי, מטעמים מיוחדים, להאריך את התקופה האמורה עד תום שנה מהיום שנמסרה לו הודעת ההשגה</w:t>
      </w:r>
      <w:r w:rsidR="0034464C">
        <w:rPr>
          <w:rFonts w:ascii="David" w:hAnsi="David" w:hint="cs"/>
          <w:noProof w:val="0"/>
          <w:rtl/>
        </w:rPr>
        <w:t>"</w:t>
      </w:r>
      <w:r>
        <w:rPr>
          <w:rFonts w:ascii="David" w:hAnsi="David"/>
          <w:noProof w:val="0"/>
          <w:rtl/>
        </w:rPr>
        <w:t xml:space="preserve">. </w:t>
      </w:r>
    </w:p>
    <w:p w:rsidR="006D68C9" w:rsidRDefault="006D68C9" w:rsidP="006D68C9">
      <w:pPr>
        <w:pStyle w:val="ae"/>
        <w:spacing w:line="360" w:lineRule="auto"/>
        <w:ind w:left="1440"/>
        <w:jc w:val="both"/>
        <w:rPr>
          <w:rFonts w:ascii="Arial" w:hAnsi="Arial"/>
          <w:noProof w:val="0"/>
          <w:rtl/>
        </w:rPr>
      </w:pPr>
    </w:p>
    <w:p w:rsidR="007E7A80" w:rsidRDefault="00117C2B" w:rsidP="008D0CE1">
      <w:pPr>
        <w:pStyle w:val="ae"/>
        <w:numPr>
          <w:ilvl w:val="0"/>
          <w:numId w:val="1"/>
        </w:numPr>
        <w:spacing w:line="360" w:lineRule="auto"/>
        <w:jc w:val="both"/>
        <w:rPr>
          <w:rFonts w:ascii="David" w:hAnsi="David"/>
          <w:noProof w:val="0"/>
        </w:rPr>
      </w:pPr>
      <w:r>
        <w:rPr>
          <w:rFonts w:ascii="David" w:hAnsi="David" w:hint="cs"/>
          <w:noProof w:val="0"/>
          <w:rtl/>
        </w:rPr>
        <w:t xml:space="preserve">העורר </w:t>
      </w:r>
      <w:r w:rsidRPr="00207B7F">
        <w:rPr>
          <w:rFonts w:ascii="David" w:hAnsi="David" w:hint="cs"/>
          <w:noProof w:val="0"/>
          <w:rtl/>
        </w:rPr>
        <w:t>טען</w:t>
      </w:r>
      <w:r w:rsidR="007E7A80">
        <w:rPr>
          <w:rFonts w:ascii="Arial" w:hAnsi="Arial" w:hint="cs"/>
          <w:noProof w:val="0"/>
          <w:rtl/>
        </w:rPr>
        <w:t xml:space="preserve"> כי </w:t>
      </w:r>
      <w:r w:rsidR="007E7A80">
        <w:rPr>
          <w:rFonts w:ascii="Arial" w:hAnsi="Arial"/>
          <w:noProof w:val="0"/>
          <w:rtl/>
        </w:rPr>
        <w:t xml:space="preserve">החלטת המשיב להאריך את המועד למתן </w:t>
      </w:r>
      <w:r w:rsidR="007E7A80">
        <w:rPr>
          <w:rFonts w:ascii="Arial" w:hAnsi="Arial" w:hint="cs"/>
          <w:noProof w:val="0"/>
          <w:rtl/>
        </w:rPr>
        <w:t xml:space="preserve">החלטה </w:t>
      </w:r>
      <w:r w:rsidR="007E7A80">
        <w:rPr>
          <w:rFonts w:ascii="Arial" w:hAnsi="Arial"/>
          <w:noProof w:val="0"/>
          <w:rtl/>
        </w:rPr>
        <w:t>בהשגה אינה כדין, משום שלא התקבלה במסגרת שמונה החודשים המנויים בסעיף 87(ד) לחוק</w:t>
      </w:r>
      <w:r w:rsidR="007E7A80">
        <w:rPr>
          <w:rFonts w:ascii="Arial" w:hAnsi="Arial" w:hint="cs"/>
          <w:noProof w:val="0"/>
          <w:rtl/>
        </w:rPr>
        <w:t>.</w:t>
      </w:r>
      <w:r>
        <w:rPr>
          <w:rFonts w:ascii="David" w:hAnsi="David" w:hint="cs"/>
          <w:noProof w:val="0"/>
          <w:rtl/>
        </w:rPr>
        <w:t xml:space="preserve"> עוד טען העורר כי</w:t>
      </w:r>
      <w:r w:rsidR="007E7A80">
        <w:rPr>
          <w:rFonts w:ascii="David" w:hAnsi="David" w:hint="cs"/>
          <w:noProof w:val="0"/>
          <w:rtl/>
        </w:rPr>
        <w:t xml:space="preserve"> </w:t>
      </w:r>
      <w:r w:rsidR="00B545C3">
        <w:rPr>
          <w:rFonts w:ascii="David" w:hAnsi="David" w:hint="cs"/>
          <w:noProof w:val="0"/>
          <w:rtl/>
        </w:rPr>
        <w:t>ההחלטה</w:t>
      </w:r>
      <w:r w:rsidR="00207B7F">
        <w:rPr>
          <w:rFonts w:ascii="David" w:hAnsi="David" w:hint="cs"/>
          <w:noProof w:val="0"/>
          <w:rtl/>
        </w:rPr>
        <w:t xml:space="preserve"> </w:t>
      </w:r>
      <w:r w:rsidR="00207B7F">
        <w:rPr>
          <w:rFonts w:ascii="David" w:hAnsi="David"/>
          <w:noProof w:val="0"/>
          <w:rtl/>
        </w:rPr>
        <w:t>אינה מנומקת ואינה כוללת את ה</w:t>
      </w:r>
      <w:r w:rsidR="008D0CE1">
        <w:rPr>
          <w:rFonts w:ascii="David" w:hAnsi="David" w:hint="cs"/>
          <w:noProof w:val="0"/>
          <w:rtl/>
        </w:rPr>
        <w:t>"</w:t>
      </w:r>
      <w:r w:rsidR="00207B7F">
        <w:rPr>
          <w:rFonts w:ascii="David" w:hAnsi="David"/>
          <w:noProof w:val="0"/>
          <w:rtl/>
        </w:rPr>
        <w:t>טעמים המיוחדים</w:t>
      </w:r>
      <w:r w:rsidR="008D0CE1">
        <w:rPr>
          <w:rFonts w:ascii="David" w:hAnsi="David" w:hint="cs"/>
          <w:noProof w:val="0"/>
          <w:rtl/>
        </w:rPr>
        <w:t>"</w:t>
      </w:r>
      <w:r w:rsidR="00207B7F">
        <w:rPr>
          <w:rFonts w:ascii="David" w:hAnsi="David"/>
          <w:noProof w:val="0"/>
          <w:rtl/>
        </w:rPr>
        <w:t>, כנדרש</w:t>
      </w:r>
      <w:r w:rsidR="00207B7F">
        <w:rPr>
          <w:rFonts w:ascii="David" w:hAnsi="David" w:hint="cs"/>
          <w:noProof w:val="0"/>
          <w:rtl/>
        </w:rPr>
        <w:t xml:space="preserve"> </w:t>
      </w:r>
      <w:r w:rsidR="008D0CE1">
        <w:rPr>
          <w:rFonts w:ascii="David" w:hAnsi="David" w:hint="cs"/>
          <w:noProof w:val="0"/>
          <w:rtl/>
        </w:rPr>
        <w:t>בחוק</w:t>
      </w:r>
      <w:r w:rsidR="00207B7F">
        <w:rPr>
          <w:rFonts w:ascii="David" w:hAnsi="David" w:hint="cs"/>
          <w:noProof w:val="0"/>
          <w:rtl/>
        </w:rPr>
        <w:t xml:space="preserve"> ובפסיקה</w:t>
      </w:r>
      <w:r w:rsidR="007E7A80">
        <w:rPr>
          <w:rFonts w:ascii="Arial" w:hAnsi="Arial"/>
          <w:noProof w:val="0"/>
          <w:rtl/>
        </w:rPr>
        <w:t>.</w:t>
      </w:r>
    </w:p>
    <w:p w:rsidR="00117C2B" w:rsidRDefault="00117C2B" w:rsidP="00117C2B">
      <w:pPr>
        <w:pStyle w:val="ae"/>
        <w:spacing w:line="360" w:lineRule="auto"/>
        <w:jc w:val="both"/>
        <w:rPr>
          <w:rFonts w:ascii="David" w:hAnsi="David"/>
          <w:noProof w:val="0"/>
        </w:rPr>
      </w:pPr>
    </w:p>
    <w:p w:rsidR="00117C2B" w:rsidRDefault="00B545C3" w:rsidP="00207B7F">
      <w:pPr>
        <w:pStyle w:val="ae"/>
        <w:numPr>
          <w:ilvl w:val="0"/>
          <w:numId w:val="1"/>
        </w:numPr>
        <w:spacing w:line="360" w:lineRule="auto"/>
        <w:jc w:val="both"/>
        <w:rPr>
          <w:rFonts w:ascii="David" w:hAnsi="David"/>
          <w:noProof w:val="0"/>
        </w:rPr>
      </w:pPr>
      <w:r>
        <w:rPr>
          <w:rFonts w:ascii="David" w:hAnsi="David" w:hint="cs"/>
          <w:noProof w:val="0"/>
          <w:rtl/>
        </w:rPr>
        <w:t xml:space="preserve">בטענות </w:t>
      </w:r>
      <w:r w:rsidR="00117C2B">
        <w:rPr>
          <w:rFonts w:ascii="David" w:hAnsi="David" w:hint="cs"/>
          <w:noProof w:val="0"/>
          <w:rtl/>
        </w:rPr>
        <w:t xml:space="preserve"> </w:t>
      </w:r>
      <w:r w:rsidR="00207B7F">
        <w:rPr>
          <w:rFonts w:ascii="David" w:hAnsi="David" w:hint="cs"/>
          <w:noProof w:val="0"/>
          <w:rtl/>
        </w:rPr>
        <w:t>דומות</w:t>
      </w:r>
      <w:r w:rsidR="00117C2B">
        <w:rPr>
          <w:rFonts w:ascii="David" w:hAnsi="David" w:hint="cs"/>
          <w:noProof w:val="0"/>
          <w:rtl/>
        </w:rPr>
        <w:t xml:space="preserve"> דנתי ב</w:t>
      </w:r>
      <w:r w:rsidR="00AA0F83">
        <w:rPr>
          <w:rFonts w:ascii="David" w:hAnsi="David" w:hint="cs"/>
          <w:noProof w:val="0"/>
          <w:rtl/>
        </w:rPr>
        <w:t xml:space="preserve">מסגרת </w:t>
      </w:r>
      <w:r w:rsidR="00117C2B">
        <w:rPr>
          <w:rFonts w:ascii="David" w:hAnsi="David" w:hint="cs"/>
          <w:noProof w:val="0"/>
          <w:rtl/>
        </w:rPr>
        <w:t>עניין אחר, והדברים שנקבעו שם יפים לענייננו</w:t>
      </w:r>
      <w:r w:rsidR="000E0CD0">
        <w:rPr>
          <w:rFonts w:ascii="David" w:hAnsi="David" w:hint="cs"/>
          <w:noProof w:val="0"/>
          <w:rtl/>
        </w:rPr>
        <w:t xml:space="preserve">. ראו </w:t>
      </w:r>
      <w:r w:rsidR="00AA0F83">
        <w:rPr>
          <w:rFonts w:ascii="David" w:hAnsi="David" w:hint="cs"/>
          <w:noProof w:val="0"/>
          <w:rtl/>
        </w:rPr>
        <w:t xml:space="preserve">ו"ע 28563-05-19 </w:t>
      </w:r>
      <w:r w:rsidR="00AA0F83" w:rsidRPr="00AA0F83">
        <w:rPr>
          <w:rFonts w:ascii="David" w:hAnsi="David" w:hint="cs"/>
          <w:b/>
          <w:bCs/>
          <w:noProof w:val="0"/>
          <w:rtl/>
        </w:rPr>
        <w:t>שטול ואח' נ' מנהל מיסוי מקרקעין ירושלים</w:t>
      </w:r>
      <w:r w:rsidR="00AA0F83">
        <w:rPr>
          <w:rFonts w:ascii="David" w:hAnsi="David" w:hint="cs"/>
          <w:noProof w:val="0"/>
          <w:rtl/>
        </w:rPr>
        <w:t xml:space="preserve"> (31.12.20), פסקה 51: </w:t>
      </w:r>
    </w:p>
    <w:p w:rsidR="00117C2B" w:rsidRPr="00117C2B" w:rsidRDefault="00117C2B" w:rsidP="00117C2B">
      <w:pPr>
        <w:pStyle w:val="ae"/>
        <w:rPr>
          <w:rFonts w:ascii="David" w:hAnsi="David"/>
          <w:noProof w:val="0"/>
          <w:rtl/>
        </w:rPr>
      </w:pPr>
    </w:p>
    <w:p w:rsidR="000E0CD0" w:rsidRDefault="000E0CD0" w:rsidP="000E0CD0">
      <w:pPr>
        <w:spacing w:line="360" w:lineRule="auto"/>
        <w:ind w:left="1440"/>
        <w:jc w:val="both"/>
        <w:rPr>
          <w:rFonts w:ascii="David" w:hAnsi="David"/>
          <w:noProof w:val="0"/>
        </w:rPr>
      </w:pPr>
      <w:r>
        <w:rPr>
          <w:rFonts w:ascii="David" w:hAnsi="David" w:hint="cs"/>
          <w:noProof w:val="0"/>
          <w:rtl/>
        </w:rPr>
        <w:t>"</w:t>
      </w:r>
      <w:r w:rsidR="00AA0F83">
        <w:rPr>
          <w:rFonts w:ascii="David" w:hAnsi="David" w:hint="cs"/>
          <w:noProof w:val="0"/>
          <w:rtl/>
        </w:rPr>
        <w:t xml:space="preserve">[...] </w:t>
      </w:r>
      <w:r>
        <w:rPr>
          <w:rFonts w:ascii="David" w:hAnsi="David"/>
          <w:noProof w:val="0"/>
          <w:rtl/>
        </w:rPr>
        <w:t xml:space="preserve">במקרה שלפנינו ראוי להתייחס להיסטוריה החקיקתית, כדי לעמוד על מטרת החקיקה (סעיף 87 לחוק). עד לשנת 1999 לא הייתה הוראה בחוק מיסוי מקרקעין המגבילה את המנהל להשיב להשגה תוך תקופה מסוימת. הוראה כזו הוספה לסעיף 87 בשנת 1999 בתיקון מספר 41 לחוק (ראו: אהרן נמדר, </w:t>
      </w:r>
      <w:r>
        <w:rPr>
          <w:rFonts w:ascii="David" w:hAnsi="David"/>
          <w:b/>
          <w:bCs/>
          <w:noProof w:val="0"/>
          <w:rtl/>
        </w:rPr>
        <w:t>מיסוי מקרקעין</w:t>
      </w:r>
      <w:r>
        <w:rPr>
          <w:rFonts w:ascii="David" w:hAnsi="David"/>
          <w:noProof w:val="0"/>
          <w:rtl/>
        </w:rPr>
        <w:t>, חלק רביעי, עמ' 669).</w:t>
      </w:r>
    </w:p>
    <w:p w:rsidR="000E0CD0" w:rsidRDefault="000E0CD0" w:rsidP="000E0CD0">
      <w:pPr>
        <w:spacing w:line="480" w:lineRule="auto"/>
        <w:ind w:left="1440"/>
        <w:rPr>
          <w:rFonts w:ascii="David" w:hAnsi="David"/>
          <w:noProof w:val="0"/>
          <w:rtl/>
        </w:rPr>
      </w:pPr>
    </w:p>
    <w:p w:rsidR="000E0CD0" w:rsidRDefault="000E0CD0" w:rsidP="000E0CD0">
      <w:pPr>
        <w:spacing w:line="360" w:lineRule="auto"/>
        <w:ind w:left="1440"/>
        <w:jc w:val="both"/>
        <w:rPr>
          <w:rFonts w:ascii="David" w:hAnsi="David"/>
          <w:noProof w:val="0"/>
          <w:rtl/>
        </w:rPr>
      </w:pPr>
      <w:r>
        <w:rPr>
          <w:rFonts w:ascii="David" w:hAnsi="David"/>
          <w:noProof w:val="0"/>
          <w:rtl/>
        </w:rPr>
        <w:t xml:space="preserve">בתיקון מספר 70 לחוק מיסוי מקרקעין משנת 2001 קוצר המועד שהיה קבוע למתן החלטה בהשגה מתקופה של שנה לתקופה של 8 חודשים. נראה כי תכלית החוק המתקן הייתה לקצר את הליכי ההשגה ולחייב את המשיב לזרז את הליך ההשגה. יחד עם זאת, הוסיף החוק המתקן את הסמכות של המנהל להאריך את מועד מתן ההחלטה בהשגה,  מטעמים מיוחדים, בארבעה חודשים נוספים. </w:t>
      </w:r>
    </w:p>
    <w:p w:rsidR="000E0CD0" w:rsidRDefault="000E0CD0" w:rsidP="000E0CD0">
      <w:pPr>
        <w:spacing w:line="360" w:lineRule="auto"/>
        <w:ind w:left="1440"/>
        <w:jc w:val="both"/>
        <w:rPr>
          <w:rFonts w:ascii="David" w:hAnsi="David"/>
          <w:noProof w:val="0"/>
          <w:rtl/>
        </w:rPr>
      </w:pPr>
    </w:p>
    <w:p w:rsidR="000E0CD0" w:rsidRDefault="000E0CD0" w:rsidP="000E0CD0">
      <w:pPr>
        <w:spacing w:line="360" w:lineRule="auto"/>
        <w:ind w:left="1440"/>
        <w:jc w:val="both"/>
        <w:rPr>
          <w:rFonts w:ascii="David" w:hAnsi="David"/>
          <w:noProof w:val="0"/>
          <w:rtl/>
        </w:rPr>
      </w:pPr>
      <w:r>
        <w:rPr>
          <w:rFonts w:ascii="David" w:hAnsi="David" w:hint="cs"/>
          <w:noProof w:val="0"/>
          <w:rtl/>
        </w:rPr>
        <w:t xml:space="preserve">[...] </w:t>
      </w:r>
      <w:r>
        <w:rPr>
          <w:rFonts w:ascii="David" w:hAnsi="David"/>
          <w:noProof w:val="0"/>
          <w:rtl/>
        </w:rPr>
        <w:t xml:space="preserve">על מנת להצדיק אישור להארכת מועד נדרשים טעמים מיוחדים, ובעל הסמכות להאריך את המועד, אינו הפקיד המוסמך בלשכת מיסוי מקרקעין באזור בו מצויים המקרקעין, אלא מדובר בסמנכ"ל מיסוי מקרקעין בהנהלת רשות המיסים. כלומר, קיימת הפרדה בין בעל התפקיד המחליט בהשגה ובין בעל התפקיד השוקל את הארכת המועד למתן ההחלטה בהשגה. </w:t>
      </w:r>
    </w:p>
    <w:p w:rsidR="000E0CD0" w:rsidRDefault="000E0CD0" w:rsidP="000E0CD0">
      <w:pPr>
        <w:spacing w:line="360" w:lineRule="auto"/>
        <w:ind w:left="1440"/>
        <w:jc w:val="both"/>
        <w:rPr>
          <w:rFonts w:ascii="David" w:hAnsi="David"/>
          <w:noProof w:val="0"/>
          <w:rtl/>
        </w:rPr>
      </w:pPr>
    </w:p>
    <w:p w:rsidR="000E0CD0" w:rsidRDefault="000E0CD0" w:rsidP="000E0CD0">
      <w:pPr>
        <w:pStyle w:val="ae"/>
        <w:spacing w:line="360" w:lineRule="auto"/>
        <w:ind w:left="1440"/>
        <w:jc w:val="both"/>
        <w:rPr>
          <w:rFonts w:ascii="David" w:hAnsi="David"/>
          <w:noProof w:val="0"/>
          <w:rtl/>
        </w:rPr>
      </w:pPr>
      <w:r>
        <w:rPr>
          <w:rFonts w:ascii="David" w:hAnsi="David"/>
          <w:noProof w:val="0"/>
          <w:rtl/>
        </w:rPr>
        <w:t>מבלי לקבוע רשימת מבחנים סגורה, אציין כי הטעמים הנדרשים אמורים להפיג את החשש שהארכות מועד יהפכו לשגרה ולכלל הנוהג, באופן שהכלל שקבע המחוקק (8 חודשים עד להחלטה בהשגה) יהפוך לחריג וירבו המקרים בהם החלטות בהשגות יינתנו רק לאחר שנה</w:t>
      </w:r>
      <w:r w:rsidR="00AA0F83">
        <w:rPr>
          <w:rFonts w:ascii="David" w:hAnsi="David" w:hint="cs"/>
          <w:noProof w:val="0"/>
          <w:rtl/>
        </w:rPr>
        <w:t>[...]"</w:t>
      </w:r>
      <w:r>
        <w:rPr>
          <w:rFonts w:ascii="David" w:hAnsi="David"/>
          <w:noProof w:val="0"/>
          <w:rtl/>
        </w:rPr>
        <w:t xml:space="preserve">. </w:t>
      </w:r>
    </w:p>
    <w:p w:rsidR="006D68C9" w:rsidRPr="000E0CD0" w:rsidRDefault="006D68C9" w:rsidP="006D68C9">
      <w:pPr>
        <w:spacing w:line="360" w:lineRule="auto"/>
        <w:jc w:val="both"/>
        <w:rPr>
          <w:rFonts w:ascii="Arial" w:hAnsi="Arial"/>
          <w:noProof w:val="0"/>
        </w:rPr>
      </w:pPr>
    </w:p>
    <w:p w:rsidR="006D68C9" w:rsidRPr="0081408E" w:rsidRDefault="006D68C9" w:rsidP="0081408E">
      <w:pPr>
        <w:pStyle w:val="ae"/>
        <w:numPr>
          <w:ilvl w:val="0"/>
          <w:numId w:val="1"/>
        </w:numPr>
        <w:spacing w:line="360" w:lineRule="auto"/>
        <w:jc w:val="both"/>
        <w:rPr>
          <w:rFonts w:ascii="David" w:hAnsi="David"/>
          <w:noProof w:val="0"/>
        </w:rPr>
      </w:pPr>
      <w:r w:rsidRPr="00207B7F">
        <w:rPr>
          <w:rFonts w:ascii="Arial" w:hAnsi="Arial"/>
          <w:noProof w:val="0"/>
          <w:rtl/>
        </w:rPr>
        <w:t xml:space="preserve">ביום 16.3.2020 נשלח לעורר מייל מטעם המשיב, </w:t>
      </w:r>
      <w:r w:rsidR="00207B7F" w:rsidRPr="00207B7F">
        <w:rPr>
          <w:rFonts w:ascii="Arial" w:hAnsi="Arial" w:hint="cs"/>
          <w:noProof w:val="0"/>
          <w:rtl/>
        </w:rPr>
        <w:t>המציין את</w:t>
      </w:r>
      <w:r w:rsidRPr="00207B7F">
        <w:rPr>
          <w:rFonts w:ascii="Arial" w:hAnsi="Arial"/>
          <w:noProof w:val="0"/>
          <w:rtl/>
        </w:rPr>
        <w:t xml:space="preserve"> הטעמים המיוחדים בגינם נתבקשה הארכת המועד למתן תשובה בהשגה. "הטעמים המיוחדים" </w:t>
      </w:r>
      <w:r w:rsidR="00207B7F" w:rsidRPr="00207B7F">
        <w:rPr>
          <w:rFonts w:ascii="Arial" w:hAnsi="Arial" w:hint="cs"/>
          <w:noProof w:val="0"/>
          <w:rtl/>
        </w:rPr>
        <w:t>כפי שהובאו במייל הם</w:t>
      </w:r>
      <w:r w:rsidRPr="00207B7F">
        <w:rPr>
          <w:rFonts w:ascii="Arial" w:hAnsi="Arial"/>
          <w:noProof w:val="0"/>
          <w:rtl/>
        </w:rPr>
        <w:t>: "</w:t>
      </w:r>
      <w:r w:rsidRPr="00207B7F">
        <w:rPr>
          <w:rFonts w:ascii="Arial" w:hAnsi="Arial"/>
          <w:b/>
          <w:bCs/>
          <w:noProof w:val="0"/>
          <w:rtl/>
        </w:rPr>
        <w:t>מורכבות הסוגיה והשלכות הרוחב שיש לשאלות העולות מן התיק על תיקים אחרים במשרדי מיסוי מקרקעין</w:t>
      </w:r>
      <w:r w:rsidRPr="00207B7F">
        <w:rPr>
          <w:rFonts w:ascii="Arial" w:hAnsi="Arial"/>
          <w:noProof w:val="0"/>
          <w:rtl/>
        </w:rPr>
        <w:t xml:space="preserve">" (נספח ה' לערר). </w:t>
      </w:r>
      <w:r w:rsidR="00207B7F" w:rsidRPr="00207B7F">
        <w:rPr>
          <w:rFonts w:ascii="David" w:hAnsi="David"/>
          <w:noProof w:val="0"/>
          <w:rtl/>
        </w:rPr>
        <w:t xml:space="preserve">אכן אושרה הארכת מועד של 4 חודשים נוספים למתן החלטה בהשגה, אולם האישור אינו כולל נימוקים.  מדובר בליקוי, שכן היה על הודעת האישור לכלול פירוט של הטעמים המיוחדים שהצדיקו את ההחלטה, ולו בקצרה, אולם איני סבור שמדובר בליקוי כה חמור, המצדיק לקבוע כי המועד לא הוארך ואין להחלטה כל תוקף. </w:t>
      </w:r>
    </w:p>
    <w:p w:rsidR="006D68C9" w:rsidRDefault="006D68C9" w:rsidP="006D68C9">
      <w:pPr>
        <w:pStyle w:val="ae"/>
        <w:spacing w:line="360" w:lineRule="auto"/>
        <w:jc w:val="both"/>
        <w:rPr>
          <w:rFonts w:ascii="Arial" w:hAnsi="Arial"/>
          <w:noProof w:val="0"/>
        </w:rPr>
      </w:pPr>
    </w:p>
    <w:p w:rsidR="006D68C9" w:rsidRDefault="006D68C9" w:rsidP="00B545C3">
      <w:pPr>
        <w:pStyle w:val="ae"/>
        <w:numPr>
          <w:ilvl w:val="0"/>
          <w:numId w:val="1"/>
        </w:numPr>
        <w:spacing w:line="360" w:lineRule="auto"/>
        <w:jc w:val="both"/>
        <w:rPr>
          <w:rFonts w:ascii="Arial" w:hAnsi="Arial"/>
          <w:noProof w:val="0"/>
        </w:rPr>
      </w:pPr>
      <w:r>
        <w:rPr>
          <w:rFonts w:ascii="Arial" w:hAnsi="Arial"/>
          <w:noProof w:val="0"/>
          <w:rtl/>
        </w:rPr>
        <w:t xml:space="preserve">בתצהירו </w:t>
      </w:r>
      <w:r w:rsidR="00B545C3">
        <w:rPr>
          <w:rFonts w:ascii="Arial" w:hAnsi="Arial" w:hint="cs"/>
          <w:noProof w:val="0"/>
          <w:rtl/>
        </w:rPr>
        <w:t xml:space="preserve">של </w:t>
      </w:r>
      <w:r w:rsidR="00B545C3">
        <w:rPr>
          <w:rFonts w:ascii="Arial" w:hAnsi="Arial"/>
          <w:noProof w:val="0"/>
          <w:rtl/>
        </w:rPr>
        <w:t xml:space="preserve">סמנכ"ל מיסוי מקרקעין </w:t>
      </w:r>
      <w:r w:rsidR="00B545C3">
        <w:rPr>
          <w:rFonts w:ascii="Arial" w:hAnsi="Arial" w:hint="cs"/>
          <w:noProof w:val="0"/>
          <w:rtl/>
        </w:rPr>
        <w:t>נכתב</w:t>
      </w:r>
      <w:r>
        <w:rPr>
          <w:rFonts w:ascii="Arial" w:hAnsi="Arial"/>
          <w:noProof w:val="0"/>
          <w:rtl/>
        </w:rPr>
        <w:t xml:space="preserve"> כי הוא החל</w:t>
      </w:r>
      <w:r w:rsidR="0081408E">
        <w:rPr>
          <w:rFonts w:ascii="Arial" w:hAnsi="Arial" w:hint="cs"/>
          <w:noProof w:val="0"/>
          <w:rtl/>
        </w:rPr>
        <w:t>י</w:t>
      </w:r>
      <w:r>
        <w:rPr>
          <w:rFonts w:ascii="Arial" w:hAnsi="Arial"/>
          <w:noProof w:val="0"/>
          <w:rtl/>
        </w:rPr>
        <w:t xml:space="preserve">ט להאריך את המועד למתן תשובה בהשגה, מן הטעם שהתבקשה חוות דעת משפטית מהלשכה המשפטית </w:t>
      </w:r>
      <w:r w:rsidR="00B545C3">
        <w:rPr>
          <w:rFonts w:ascii="Arial" w:hAnsi="Arial" w:hint="cs"/>
          <w:noProof w:val="0"/>
          <w:rtl/>
        </w:rPr>
        <w:t>אצל ה</w:t>
      </w:r>
      <w:r>
        <w:rPr>
          <w:rFonts w:ascii="Arial" w:hAnsi="Arial"/>
          <w:noProof w:val="0"/>
          <w:rtl/>
        </w:rPr>
        <w:t>משיב. דברים דומים ניתן למצ</w:t>
      </w:r>
      <w:r w:rsidR="00FA09A2">
        <w:rPr>
          <w:rFonts w:ascii="Arial" w:hAnsi="Arial" w:hint="cs"/>
          <w:noProof w:val="0"/>
          <w:rtl/>
        </w:rPr>
        <w:t>ו</w:t>
      </w:r>
      <w:r>
        <w:rPr>
          <w:rFonts w:ascii="Arial" w:hAnsi="Arial"/>
          <w:noProof w:val="0"/>
          <w:rtl/>
        </w:rPr>
        <w:t>א בחקירתו הנגדית של הסמנכ"ל:</w:t>
      </w:r>
    </w:p>
    <w:p w:rsidR="006D68C9" w:rsidRDefault="006D68C9" w:rsidP="006D68C9">
      <w:pPr>
        <w:pStyle w:val="ae"/>
        <w:spacing w:line="360" w:lineRule="auto"/>
        <w:jc w:val="both"/>
        <w:rPr>
          <w:rFonts w:ascii="Arial" w:hAnsi="Arial"/>
          <w:noProof w:val="0"/>
        </w:rPr>
      </w:pPr>
    </w:p>
    <w:p w:rsidR="006D68C9" w:rsidRDefault="006D68C9" w:rsidP="00B545C3">
      <w:pPr>
        <w:pStyle w:val="ae"/>
        <w:spacing w:line="360" w:lineRule="auto"/>
        <w:ind w:left="1440"/>
        <w:jc w:val="both"/>
        <w:rPr>
          <w:rFonts w:ascii="Arial" w:hAnsi="Arial"/>
          <w:noProof w:val="0"/>
        </w:rPr>
      </w:pPr>
      <w:r>
        <w:rPr>
          <w:rFonts w:ascii="Arial" w:hAnsi="Arial"/>
          <w:noProof w:val="0"/>
          <w:rtl/>
        </w:rPr>
        <w:t xml:space="preserve">"[...] השאלה האם הדירה עונה על הדרישות הפיזיות של דירת מגורים. היות ובאותו זמן היינו אומנם שנה אחרי פס"ד מנו, הנושא של המבחן הפיזי של דירת מגורים בהחלט הייתה סוגיה שעלתה בתיקים, לא מעט שומות, ולכן ביקשתי לוודא שבמידה והמשרד יחליט כי אין מדובר בנכס העונה על הגדרת דירת מגורים כהגדרתה בס' 1 לחוק מיסוי מקרקעין, הנושא ייבדק היטב והעמדה תיבחן היטב לפני התשובה של המשרד על ההשגה [...] הסכמתי איתה שיש לקבל חוו"ד משפטית, ברורה, מנומקת שאכן אין המדובר בדיר מגורים כהגדרתה בס' 1 ועל כן נתתי את אישורי להארכת המועד." (עמוד 16 </w:t>
      </w:r>
      <w:r w:rsidR="00B545C3">
        <w:rPr>
          <w:rFonts w:ascii="Arial" w:hAnsi="Arial" w:hint="cs"/>
          <w:noProof w:val="0"/>
          <w:rtl/>
        </w:rPr>
        <w:t xml:space="preserve">לפרוטוקול, </w:t>
      </w:r>
      <w:r>
        <w:rPr>
          <w:rFonts w:ascii="Arial" w:hAnsi="Arial"/>
          <w:noProof w:val="0"/>
          <w:rtl/>
        </w:rPr>
        <w:t>שורה 24).</w:t>
      </w:r>
    </w:p>
    <w:p w:rsidR="006D68C9" w:rsidRDefault="006D68C9" w:rsidP="006D68C9">
      <w:pPr>
        <w:pStyle w:val="ae"/>
        <w:spacing w:line="360" w:lineRule="auto"/>
        <w:ind w:left="1440"/>
        <w:jc w:val="both"/>
        <w:rPr>
          <w:rFonts w:ascii="Arial" w:hAnsi="Arial"/>
          <w:noProof w:val="0"/>
          <w:rtl/>
        </w:rPr>
      </w:pPr>
    </w:p>
    <w:p w:rsidR="006D68C9" w:rsidRDefault="006D68C9" w:rsidP="006D68C9">
      <w:pPr>
        <w:spacing w:line="360" w:lineRule="auto"/>
        <w:ind w:left="720"/>
        <w:jc w:val="both"/>
        <w:rPr>
          <w:rFonts w:ascii="Arial" w:hAnsi="Arial"/>
          <w:noProof w:val="0"/>
          <w:rtl/>
        </w:rPr>
      </w:pPr>
      <w:r>
        <w:rPr>
          <w:rFonts w:ascii="Arial" w:hAnsi="Arial"/>
          <w:noProof w:val="0"/>
          <w:rtl/>
        </w:rPr>
        <w:t>וכן בעדותו של אמיר רבינוביץ:</w:t>
      </w:r>
    </w:p>
    <w:p w:rsidR="006D68C9" w:rsidRDefault="006D68C9" w:rsidP="006D68C9">
      <w:pPr>
        <w:spacing w:line="360" w:lineRule="auto"/>
        <w:ind w:left="720"/>
        <w:jc w:val="both"/>
        <w:rPr>
          <w:rFonts w:ascii="Arial" w:hAnsi="Arial"/>
          <w:noProof w:val="0"/>
          <w:rtl/>
        </w:rPr>
      </w:pPr>
    </w:p>
    <w:p w:rsidR="006D68C9" w:rsidRDefault="006D68C9" w:rsidP="00FA09A2">
      <w:pPr>
        <w:spacing w:line="360" w:lineRule="auto"/>
        <w:ind w:left="1440"/>
        <w:jc w:val="both"/>
        <w:rPr>
          <w:rFonts w:ascii="Arial" w:hAnsi="Arial"/>
          <w:noProof w:val="0"/>
          <w:rtl/>
        </w:rPr>
      </w:pPr>
      <w:r>
        <w:rPr>
          <w:rFonts w:ascii="Arial" w:hAnsi="Arial"/>
          <w:noProof w:val="0"/>
          <w:rtl/>
        </w:rPr>
        <w:t>"מעיון במסמ</w:t>
      </w:r>
      <w:r w:rsidR="00FA09A2">
        <w:rPr>
          <w:rFonts w:ascii="Arial" w:hAnsi="Arial" w:hint="cs"/>
          <w:noProof w:val="0"/>
          <w:rtl/>
        </w:rPr>
        <w:t>כ</w:t>
      </w:r>
      <w:r>
        <w:rPr>
          <w:rFonts w:ascii="Arial" w:hAnsi="Arial"/>
          <w:noProof w:val="0"/>
          <w:rtl/>
        </w:rPr>
        <w:t xml:space="preserve">ים היה פס"ד חדשני של אסתר מנו, שנקודת ההסתכלות איך מסתכלים על הגדרת דירת מגורים והייתה התלבטות משפטית רוחבית, סוגיות רוחב שמדובר בנכס הרוס, מוזנח במשך השנים. פס"ד מנו נתן פתח להסתכל על זה </w:t>
      </w:r>
      <w:r>
        <w:rPr>
          <w:rFonts w:ascii="Arial" w:hAnsi="Arial"/>
          <w:noProof w:val="0"/>
          <w:rtl/>
        </w:rPr>
        <w:lastRenderedPageBreak/>
        <w:t xml:space="preserve">משפטית. להתייעץ עם יועץ משפטי לראות איזה כיוון זה שולח אותנו." (עמוד 18 </w:t>
      </w:r>
      <w:r w:rsidR="00B545C3">
        <w:rPr>
          <w:rFonts w:ascii="Arial" w:hAnsi="Arial" w:hint="cs"/>
          <w:noProof w:val="0"/>
          <w:rtl/>
        </w:rPr>
        <w:t xml:space="preserve">לפרוטוקול, </w:t>
      </w:r>
      <w:r>
        <w:rPr>
          <w:rFonts w:ascii="Arial" w:hAnsi="Arial"/>
          <w:noProof w:val="0"/>
          <w:rtl/>
        </w:rPr>
        <w:t>שורה 25).</w:t>
      </w:r>
    </w:p>
    <w:p w:rsidR="006D68C9" w:rsidRDefault="006D68C9" w:rsidP="006D68C9">
      <w:pPr>
        <w:spacing w:line="360" w:lineRule="auto"/>
        <w:ind w:left="1440"/>
        <w:jc w:val="both"/>
        <w:rPr>
          <w:rFonts w:ascii="Arial" w:hAnsi="Arial"/>
          <w:noProof w:val="0"/>
        </w:rPr>
      </w:pPr>
    </w:p>
    <w:p w:rsidR="006D68C9" w:rsidRDefault="00470831" w:rsidP="0081408E">
      <w:pPr>
        <w:pStyle w:val="ae"/>
        <w:numPr>
          <w:ilvl w:val="0"/>
          <w:numId w:val="1"/>
        </w:numPr>
        <w:spacing w:line="360" w:lineRule="auto"/>
        <w:jc w:val="both"/>
        <w:rPr>
          <w:rFonts w:ascii="Arial" w:hAnsi="Arial"/>
          <w:noProof w:val="0"/>
          <w:rtl/>
        </w:rPr>
      </w:pPr>
      <w:r>
        <w:rPr>
          <w:rFonts w:ascii="Arial" w:hAnsi="Arial" w:hint="cs"/>
          <w:noProof w:val="0"/>
          <w:rtl/>
        </w:rPr>
        <w:t xml:space="preserve">מצאתי </w:t>
      </w:r>
      <w:r w:rsidR="0081408E">
        <w:rPr>
          <w:rFonts w:ascii="Arial" w:hAnsi="Arial" w:hint="cs"/>
          <w:noProof w:val="0"/>
          <w:rtl/>
        </w:rPr>
        <w:t xml:space="preserve">כי הטעמים שהוצגו הינם בגדר "טעמים מיוחדים" המצדיקים את הארכת המועד במקרה זה. בהקשר זה, </w:t>
      </w:r>
      <w:r w:rsidR="006D68C9">
        <w:rPr>
          <w:rFonts w:ascii="Arial" w:hAnsi="Arial"/>
          <w:noProof w:val="0"/>
          <w:rtl/>
        </w:rPr>
        <w:t xml:space="preserve">ניתן לעמוד על כך שהעורר עצמו ביקש ארכה להגשת השגה, מהנימוק שדרוש לו זמן להכין את נימוקי ההשגה </w:t>
      </w:r>
      <w:r w:rsidR="0081408E">
        <w:rPr>
          <w:rFonts w:ascii="Arial" w:hAnsi="Arial" w:hint="cs"/>
          <w:noProof w:val="0"/>
          <w:rtl/>
        </w:rPr>
        <w:t>בשל</w:t>
      </w:r>
      <w:r w:rsidR="006D68C9">
        <w:rPr>
          <w:rFonts w:ascii="Arial" w:hAnsi="Arial"/>
          <w:noProof w:val="0"/>
          <w:rtl/>
        </w:rPr>
        <w:t xml:space="preserve"> מורכבות העסקה (פניית ב"כ העורר דאז מיום 17.4.2019).</w:t>
      </w:r>
    </w:p>
    <w:p w:rsidR="006D68C9" w:rsidRPr="0081408E" w:rsidRDefault="006D68C9" w:rsidP="006D68C9">
      <w:pPr>
        <w:spacing w:line="360" w:lineRule="auto"/>
        <w:jc w:val="both"/>
        <w:rPr>
          <w:rFonts w:ascii="Arial" w:hAnsi="Arial"/>
          <w:noProof w:val="0"/>
        </w:rPr>
      </w:pPr>
    </w:p>
    <w:p w:rsidR="008D0CE1" w:rsidRPr="008D0CE1" w:rsidRDefault="008D0CE1" w:rsidP="008D0CE1">
      <w:pPr>
        <w:pStyle w:val="ae"/>
        <w:numPr>
          <w:ilvl w:val="0"/>
          <w:numId w:val="1"/>
        </w:numPr>
        <w:spacing w:line="360" w:lineRule="auto"/>
        <w:jc w:val="both"/>
        <w:rPr>
          <w:rFonts w:ascii="Arial" w:hAnsi="Arial"/>
          <w:noProof w:val="0"/>
        </w:rPr>
      </w:pPr>
      <w:r w:rsidRPr="008D0CE1">
        <w:rPr>
          <w:rFonts w:ascii="David" w:hAnsi="David"/>
          <w:noProof w:val="0"/>
          <w:rtl/>
        </w:rPr>
        <w:t>לאור כל האמור, איני סבור שיש הצדקה לקבל את הטענות ה</w:t>
      </w:r>
      <w:r w:rsidR="00B545C3">
        <w:rPr>
          <w:rFonts w:ascii="David" w:hAnsi="David"/>
          <w:noProof w:val="0"/>
          <w:rtl/>
        </w:rPr>
        <w:t>פרוצדורליות שהועלו על ידי העורר</w:t>
      </w:r>
      <w:r w:rsidR="00B545C3">
        <w:rPr>
          <w:rFonts w:ascii="David" w:hAnsi="David" w:hint="cs"/>
          <w:noProof w:val="0"/>
          <w:rtl/>
        </w:rPr>
        <w:t xml:space="preserve"> ואין בהן כדי להביא לקבלת הערר.</w:t>
      </w:r>
    </w:p>
    <w:p w:rsidR="006D68C9" w:rsidRPr="008D0CE1" w:rsidRDefault="006D68C9" w:rsidP="006D68C9">
      <w:pPr>
        <w:spacing w:line="360" w:lineRule="auto"/>
        <w:jc w:val="both"/>
        <w:rPr>
          <w:rFonts w:ascii="Arial" w:hAnsi="Arial"/>
          <w:noProof w:val="0"/>
          <w:rtl/>
        </w:rPr>
      </w:pPr>
    </w:p>
    <w:p w:rsidR="006D68C9" w:rsidRDefault="006D68C9" w:rsidP="006D68C9">
      <w:pPr>
        <w:spacing w:line="360" w:lineRule="auto"/>
        <w:ind w:left="720" w:hanging="720"/>
        <w:jc w:val="both"/>
        <w:rPr>
          <w:rFonts w:ascii="Arial" w:hAnsi="Arial"/>
          <w:b/>
          <w:bCs/>
          <w:noProof w:val="0"/>
          <w:u w:val="single"/>
          <w:rtl/>
        </w:rPr>
      </w:pPr>
      <w:r>
        <w:rPr>
          <w:rFonts w:ascii="Arial" w:hAnsi="Arial"/>
          <w:b/>
          <w:bCs/>
          <w:noProof w:val="0"/>
          <w:u w:val="single"/>
          <w:rtl/>
        </w:rPr>
        <w:t>סוף דבר</w:t>
      </w:r>
    </w:p>
    <w:p w:rsidR="00B06118" w:rsidRDefault="00B06118" w:rsidP="006D68C9">
      <w:pPr>
        <w:spacing w:line="360" w:lineRule="auto"/>
        <w:ind w:left="720" w:hanging="720"/>
        <w:jc w:val="both"/>
        <w:rPr>
          <w:rFonts w:ascii="Arial" w:hAnsi="Arial"/>
          <w:b/>
          <w:bCs/>
          <w:noProof w:val="0"/>
          <w:u w:val="single"/>
          <w:rtl/>
        </w:rPr>
      </w:pPr>
    </w:p>
    <w:p w:rsidR="006D68C9" w:rsidRDefault="006D68C9" w:rsidP="00B545C3">
      <w:pPr>
        <w:pStyle w:val="ae"/>
        <w:numPr>
          <w:ilvl w:val="0"/>
          <w:numId w:val="1"/>
        </w:numPr>
        <w:spacing w:line="360" w:lineRule="auto"/>
        <w:ind w:hanging="720"/>
        <w:jc w:val="both"/>
        <w:rPr>
          <w:rFonts w:ascii="Arial" w:hAnsi="Arial"/>
          <w:b/>
          <w:bCs/>
          <w:noProof w:val="0"/>
          <w:u w:val="single"/>
        </w:rPr>
      </w:pPr>
      <w:r w:rsidRPr="003E3064">
        <w:rPr>
          <w:rFonts w:ascii="Arial" w:hAnsi="Arial"/>
          <w:noProof w:val="0"/>
          <w:rtl/>
        </w:rPr>
        <w:t xml:space="preserve">לאור כל האמור, </w:t>
      </w:r>
      <w:r w:rsidR="00FA09A2">
        <w:rPr>
          <w:rFonts w:ascii="Arial" w:hAnsi="Arial" w:hint="cs"/>
          <w:noProof w:val="0"/>
          <w:rtl/>
        </w:rPr>
        <w:t>אציע לחברי</w:t>
      </w:r>
      <w:r w:rsidR="00A20182" w:rsidRPr="003E3064">
        <w:rPr>
          <w:rFonts w:ascii="Arial" w:hAnsi="Arial" w:hint="cs"/>
          <w:noProof w:val="0"/>
          <w:rtl/>
        </w:rPr>
        <w:t xml:space="preserve"> הועדה לדחות את העררים</w:t>
      </w:r>
      <w:r w:rsidR="00B545C3">
        <w:rPr>
          <w:rFonts w:ascii="Arial" w:hAnsi="Arial" w:hint="cs"/>
          <w:noProof w:val="0"/>
          <w:rtl/>
        </w:rPr>
        <w:t>,</w:t>
      </w:r>
      <w:r w:rsidR="00A20182" w:rsidRPr="003E3064">
        <w:rPr>
          <w:rFonts w:ascii="Arial" w:hAnsi="Arial" w:hint="cs"/>
          <w:noProof w:val="0"/>
          <w:rtl/>
        </w:rPr>
        <w:t xml:space="preserve"> למעט בסוגיה של הסכום הנוסף ששולם </w:t>
      </w:r>
      <w:r w:rsidR="003E3064" w:rsidRPr="003E3064">
        <w:rPr>
          <w:rFonts w:ascii="Arial" w:hAnsi="Arial" w:hint="cs"/>
          <w:noProof w:val="0"/>
          <w:rtl/>
        </w:rPr>
        <w:t xml:space="preserve">למוכר בהסכם הפשרה, כאמור לעיל בפסקה </w:t>
      </w:r>
      <w:r w:rsidR="00B545C3">
        <w:rPr>
          <w:rFonts w:ascii="Arial" w:hAnsi="Arial" w:hint="cs"/>
          <w:noProof w:val="0"/>
          <w:rtl/>
        </w:rPr>
        <w:t>59</w:t>
      </w:r>
      <w:r w:rsidR="003E3064" w:rsidRPr="003E3064">
        <w:rPr>
          <w:rFonts w:ascii="Arial" w:hAnsi="Arial" w:hint="cs"/>
          <w:noProof w:val="0"/>
          <w:rtl/>
        </w:rPr>
        <w:t>. לאור התוצאה, נקבע בזאת כי על העורר לשלם למשיב הוצאות ושכ"ט עו"ד בסכום כולל של 25,000 ₪ וזאת תוך 45 ימים מהיום. לאחר מועד זה יתווספו לסכום הנ"ל הפרשי הצמדה וריבית כחוק.</w:t>
      </w:r>
    </w:p>
    <w:p w:rsidR="003E3064" w:rsidRPr="003E3064" w:rsidRDefault="003E3064" w:rsidP="003E3064">
      <w:pPr>
        <w:spacing w:line="360" w:lineRule="auto"/>
        <w:jc w:val="both"/>
        <w:rPr>
          <w:rFonts w:ascii="Arial" w:hAnsi="Arial"/>
          <w:b/>
          <w:bCs/>
          <w:noProof w:val="0"/>
          <w:u w:val="single"/>
          <w:rtl/>
        </w:rPr>
      </w:pPr>
    </w:p>
    <w:p w:rsidR="006D68C9" w:rsidRDefault="006D68C9" w:rsidP="006D68C9">
      <w:pPr>
        <w:spacing w:line="360" w:lineRule="auto"/>
        <w:ind w:left="720" w:hanging="720"/>
        <w:jc w:val="both"/>
        <w:rPr>
          <w:rFonts w:ascii="Arial" w:hAnsi="Arial"/>
          <w:b/>
          <w:bCs/>
          <w:noProof w:val="0"/>
          <w:u w:val="single"/>
          <w:rtl/>
        </w:rPr>
      </w:pPr>
      <w:r>
        <w:rPr>
          <w:rFonts w:ascii="Arial" w:hAnsi="Arial"/>
          <w:b/>
          <w:bCs/>
          <w:noProof w:val="0"/>
          <w:u w:val="single"/>
          <w:rtl/>
        </w:rPr>
        <w:t>חבר הועדה, אבי הוכמן</w:t>
      </w:r>
    </w:p>
    <w:p w:rsidR="00FA09A2" w:rsidRDefault="00FA09A2" w:rsidP="006D68C9">
      <w:pPr>
        <w:spacing w:line="360" w:lineRule="auto"/>
        <w:ind w:left="720" w:hanging="720"/>
        <w:jc w:val="both"/>
        <w:rPr>
          <w:rFonts w:ascii="Arial" w:hAnsi="Arial"/>
          <w:b/>
          <w:bCs/>
          <w:noProof w:val="0"/>
          <w:u w:val="single"/>
          <w:rtl/>
        </w:rPr>
      </w:pPr>
    </w:p>
    <w:p w:rsidR="00FA09A2" w:rsidRPr="00FA09A2" w:rsidRDefault="00FA09A2" w:rsidP="006D68C9">
      <w:pPr>
        <w:spacing w:line="360" w:lineRule="auto"/>
        <w:ind w:left="720" w:hanging="720"/>
        <w:jc w:val="both"/>
        <w:rPr>
          <w:rFonts w:ascii="Arial" w:hAnsi="Arial"/>
          <w:noProof w:val="0"/>
          <w:rtl/>
        </w:rPr>
      </w:pPr>
      <w:r w:rsidRPr="00FA09A2">
        <w:rPr>
          <w:rFonts w:ascii="Arial" w:hAnsi="Arial" w:hint="cs"/>
          <w:noProof w:val="0"/>
          <w:rtl/>
        </w:rPr>
        <w:t>אני מסכים לחוות דעתו של יו"ר הועדה.</w:t>
      </w:r>
    </w:p>
    <w:p w:rsidR="006D68C9" w:rsidRDefault="006D68C9" w:rsidP="006D68C9">
      <w:pPr>
        <w:spacing w:line="360" w:lineRule="auto"/>
        <w:ind w:left="720" w:hanging="720"/>
        <w:jc w:val="both"/>
        <w:rPr>
          <w:rFonts w:ascii="Arial" w:hAnsi="Arial"/>
          <w:noProof w:val="0"/>
          <w:rtl/>
        </w:rPr>
      </w:pPr>
    </w:p>
    <w:p w:rsidR="006D68C9" w:rsidRDefault="006D68C9" w:rsidP="00FA09A2">
      <w:pPr>
        <w:spacing w:line="360" w:lineRule="auto"/>
        <w:jc w:val="both"/>
        <w:rPr>
          <w:rFonts w:ascii="Arial" w:hAnsi="Arial"/>
          <w:b/>
          <w:bCs/>
          <w:noProof w:val="0"/>
          <w:u w:val="single"/>
          <w:rtl/>
        </w:rPr>
      </w:pPr>
      <w:r>
        <w:rPr>
          <w:rFonts w:ascii="Arial" w:hAnsi="Arial"/>
          <w:b/>
          <w:bCs/>
          <w:noProof w:val="0"/>
          <w:u w:val="single"/>
          <w:rtl/>
        </w:rPr>
        <w:t>חברת הועדה, גבע בלטר</w:t>
      </w:r>
    </w:p>
    <w:p w:rsidR="006D68C9" w:rsidRDefault="006D68C9" w:rsidP="006D68C9">
      <w:pPr>
        <w:spacing w:line="360" w:lineRule="auto"/>
        <w:ind w:left="720" w:hanging="720"/>
        <w:jc w:val="both"/>
        <w:rPr>
          <w:rFonts w:ascii="Arial" w:hAnsi="Arial"/>
          <w:b/>
          <w:bCs/>
          <w:noProof w:val="0"/>
          <w:u w:val="single"/>
          <w:rtl/>
        </w:rPr>
      </w:pPr>
    </w:p>
    <w:p w:rsidR="00FA09A2" w:rsidRDefault="00FA09A2" w:rsidP="00FA09A2">
      <w:pPr>
        <w:spacing w:line="360" w:lineRule="auto"/>
        <w:ind w:left="720" w:hanging="720"/>
        <w:jc w:val="both"/>
        <w:rPr>
          <w:rFonts w:ascii="Arial" w:hAnsi="Arial"/>
          <w:noProof w:val="0"/>
          <w:rtl/>
        </w:rPr>
      </w:pPr>
      <w:r w:rsidRPr="00FA09A2">
        <w:rPr>
          <w:rFonts w:ascii="Arial" w:hAnsi="Arial" w:hint="cs"/>
          <w:noProof w:val="0"/>
          <w:rtl/>
        </w:rPr>
        <w:t>אני מצטרפת לחוות דעתו של כב' השופט א' דורות.</w:t>
      </w:r>
    </w:p>
    <w:p w:rsidR="00B06118" w:rsidRPr="00FA09A2" w:rsidRDefault="00B06118" w:rsidP="00FA09A2">
      <w:pPr>
        <w:spacing w:line="360" w:lineRule="auto"/>
        <w:ind w:left="720" w:hanging="720"/>
        <w:jc w:val="both"/>
        <w:rPr>
          <w:rFonts w:ascii="Arial" w:hAnsi="Arial"/>
          <w:noProof w:val="0"/>
          <w:rtl/>
        </w:rPr>
      </w:pPr>
    </w:p>
    <w:p w:rsidR="006D68C9" w:rsidRDefault="006D68C9" w:rsidP="006D68C9">
      <w:pPr>
        <w:spacing w:line="360" w:lineRule="auto"/>
        <w:jc w:val="both"/>
        <w:rPr>
          <w:rFonts w:ascii="Arial" w:hAnsi="Arial"/>
          <w:noProof w:val="0"/>
          <w:rtl/>
        </w:rPr>
      </w:pPr>
    </w:p>
    <w:p w:rsidR="006D68C9" w:rsidRDefault="006D68C9" w:rsidP="00FA09A2">
      <w:pPr>
        <w:spacing w:line="360" w:lineRule="auto"/>
        <w:jc w:val="both"/>
        <w:rPr>
          <w:rFonts w:ascii="Arial" w:hAnsi="Arial"/>
          <w:noProof w:val="0"/>
          <w:rtl/>
        </w:rPr>
      </w:pPr>
      <w:r>
        <w:rPr>
          <w:rFonts w:ascii="Arial" w:hAnsi="Arial"/>
          <w:noProof w:val="0"/>
          <w:rtl/>
        </w:rPr>
        <w:t>כפועל יוצא מהאמור לעיל, ה</w:t>
      </w:r>
      <w:r w:rsidR="00FA09A2">
        <w:rPr>
          <w:rFonts w:ascii="Arial" w:hAnsi="Arial" w:hint="cs"/>
          <w:noProof w:val="0"/>
          <w:rtl/>
        </w:rPr>
        <w:t xml:space="preserve">וחלט </w:t>
      </w:r>
      <w:r w:rsidR="00C64B2A">
        <w:rPr>
          <w:rFonts w:ascii="Arial" w:hAnsi="Arial" w:hint="cs"/>
          <w:noProof w:val="0"/>
          <w:rtl/>
        </w:rPr>
        <w:t>כאמור בחוות דעתו של יו"ר הועדה.</w:t>
      </w:r>
      <w:r>
        <w:rPr>
          <w:rFonts w:ascii="Arial" w:hAnsi="Arial"/>
          <w:noProof w:val="0"/>
          <w:rtl/>
        </w:rPr>
        <w:t xml:space="preserve"> </w:t>
      </w:r>
    </w:p>
    <w:p w:rsidR="00B06118" w:rsidRDefault="00B06118" w:rsidP="00FA09A2">
      <w:pPr>
        <w:spacing w:line="360" w:lineRule="auto"/>
        <w:jc w:val="both"/>
        <w:rPr>
          <w:rFonts w:ascii="Arial" w:hAnsi="Arial"/>
          <w:noProof w:val="0"/>
          <w:rtl/>
        </w:rPr>
      </w:pPr>
    </w:p>
    <w:p w:rsidR="006D68C9" w:rsidRDefault="006D68C9" w:rsidP="006D68C9">
      <w:pPr>
        <w:spacing w:line="360" w:lineRule="auto"/>
        <w:jc w:val="both"/>
        <w:rPr>
          <w:rFonts w:ascii="Arial" w:hAnsi="Arial"/>
          <w:noProof w:val="0"/>
          <w:rtl/>
        </w:rPr>
      </w:pPr>
    </w:p>
    <w:p w:rsidR="006D68C9" w:rsidRDefault="006D68C9" w:rsidP="006D68C9">
      <w:pPr>
        <w:spacing w:line="360" w:lineRule="auto"/>
        <w:jc w:val="both"/>
        <w:rPr>
          <w:rFonts w:ascii="Arial" w:hAnsi="Arial"/>
          <w:b/>
          <w:bCs/>
          <w:noProof w:val="0"/>
          <w:u w:val="single"/>
          <w:rtl/>
        </w:rPr>
      </w:pPr>
      <w:r>
        <w:rPr>
          <w:rFonts w:ascii="Arial" w:hAnsi="Arial"/>
          <w:b/>
          <w:bCs/>
          <w:noProof w:val="0"/>
          <w:u w:val="single"/>
          <w:rtl/>
        </w:rPr>
        <w:t>המזכירות תמציא את פסק הדין לבאי כוח הצדדים.</w:t>
      </w:r>
    </w:p>
    <w:p w:rsidR="006D68C9" w:rsidRDefault="006D68C9" w:rsidP="006D68C9">
      <w:pPr>
        <w:spacing w:line="360" w:lineRule="auto"/>
        <w:jc w:val="both"/>
        <w:rPr>
          <w:rFonts w:ascii="Arial" w:hAnsi="Arial"/>
          <w:noProof w:val="0"/>
          <w:rtl/>
        </w:rPr>
      </w:pPr>
    </w:p>
    <w:p w:rsidR="00B06118" w:rsidRDefault="00B06118" w:rsidP="00437917">
      <w:pPr>
        <w:spacing w:line="360" w:lineRule="auto"/>
        <w:jc w:val="both"/>
        <w:rPr>
          <w:rFonts w:ascii="Arial" w:hAnsi="Arial"/>
          <w:noProof w:val="0"/>
          <w:rtl/>
        </w:rPr>
      </w:pPr>
    </w:p>
    <w:p w:rsidR="006D68C9" w:rsidRDefault="006D68C9" w:rsidP="0043791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hint="cs"/>
              <w:noProof w:val="0"/>
              <w:rtl/>
            </w:rPr>
            <w:t>א' תמוז תשפ"ד</w:t>
          </w:r>
        </w:sdtContent>
      </w:sdt>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07 יולי 2024</w:t>
          </w:r>
        </w:sdtContent>
      </w:sdt>
      <w:r>
        <w:rPr>
          <w:rFonts w:ascii="Arial" w:hAnsi="Arial"/>
          <w:noProof w:val="0"/>
          <w:rtl/>
        </w:rPr>
        <w:t>, בהעדר הצדדים.</w:t>
      </w:r>
    </w:p>
    <w:p w:rsidR="006D68C9" w:rsidRDefault="006D68C9" w:rsidP="006D68C9">
      <w:pPr>
        <w:spacing w:line="360" w:lineRule="auto"/>
        <w:jc w:val="both"/>
        <w:rPr>
          <w:rFonts w:ascii="Arial" w:hAnsi="Arial"/>
          <w:noProof w:val="0"/>
          <w:rtl/>
        </w:rPr>
      </w:pPr>
    </w:p>
    <w:tbl>
      <w:tblPr>
        <w:bidiVisual/>
        <w:tblW w:w="0" w:type="auto"/>
        <w:tblLook w:val="00A0" w:firstRow="1" w:lastRow="0" w:firstColumn="1" w:lastColumn="0" w:noHBand="0" w:noVBand="0"/>
      </w:tblPr>
      <w:tblGrid>
        <w:gridCol w:w="3055"/>
        <w:gridCol w:w="2725"/>
        <w:gridCol w:w="2725"/>
      </w:tblGrid>
      <w:tr w:rsidR="006D68C9" w:rsidTr="006D68C9">
        <w:trPr>
          <w:trHeight w:val="2115"/>
        </w:trPr>
        <w:tc>
          <w:tcPr>
            <w:tcW w:w="3055" w:type="dxa"/>
          </w:tcPr>
          <w:p w:rsidR="006D68C9" w:rsidRDefault="006D68C9">
            <w:pPr>
              <w:spacing w:line="256" w:lineRule="auto"/>
              <w:rPr>
                <w:sz w:val="14"/>
                <w:szCs w:val="14"/>
                <w:rtl/>
              </w:rPr>
            </w:pPr>
          </w:p>
          <w:p w:rsidR="006D68C9" w:rsidRDefault="006D68C9">
            <w:pPr>
              <w:spacing w:line="256" w:lineRule="auto"/>
              <w:rPr>
                <w:sz w:val="14"/>
                <w:szCs w:val="14"/>
              </w:rPr>
            </w:pPr>
          </w:p>
          <w:tbl>
            <w:tblPr>
              <w:bidiVisual/>
              <w:tblW w:w="0" w:type="auto"/>
              <w:tblLook w:val="01E0" w:firstRow="1" w:lastRow="1" w:firstColumn="1" w:lastColumn="1" w:noHBand="0" w:noVBand="0"/>
            </w:tblPr>
            <w:tblGrid>
              <w:gridCol w:w="2616"/>
              <w:gridCol w:w="222"/>
            </w:tblGrid>
            <w:tr w:rsidR="006D68C9">
              <w:tc>
                <w:tcPr>
                  <w:tcW w:w="2616" w:type="dxa"/>
                  <w:tcBorders>
                    <w:top w:val="nil"/>
                    <w:left w:val="nil"/>
                    <w:bottom w:val="single" w:sz="4" w:space="0" w:color="auto"/>
                    <w:right w:val="nil"/>
                  </w:tcBorders>
                  <w:vAlign w:val="center"/>
                </w:tcPr>
                <w:p w:rsidR="006D68C9" w:rsidRDefault="006D68C9">
                  <w:pPr>
                    <w:spacing w:line="256" w:lineRule="auto"/>
                    <w:jc w:val="center"/>
                    <w:rPr>
                      <w:rFonts w:ascii="Courier New" w:hAnsi="Courier New"/>
                      <w:b/>
                      <w:bCs/>
                      <w:noProof w:val="0"/>
                    </w:rPr>
                  </w:pPr>
                </w:p>
                <w:p w:rsidR="006D68C9" w:rsidRDefault="006D68C9">
                  <w:pPr>
                    <w:spacing w:line="256" w:lineRule="auto"/>
                    <w:jc w:val="center"/>
                    <w:rPr>
                      <w:rFonts w:ascii="Courier New" w:hAnsi="Courier New"/>
                      <w:b/>
                      <w:bCs/>
                      <w:sz w:val="6"/>
                      <w:szCs w:val="6"/>
                      <w:rtl/>
                    </w:rPr>
                  </w:pPr>
                  <w:r>
                    <w:drawing>
                      <wp:inline distT="0" distB="0" distL="0" distR="0">
                        <wp:extent cx="1467485" cy="568325"/>
                        <wp:effectExtent l="0" t="0" r="0"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7485" cy="568325"/>
                                </a:xfrm>
                                <a:prstGeom prst="rect">
                                  <a:avLst/>
                                </a:prstGeom>
                                <a:noFill/>
                                <a:ln>
                                  <a:noFill/>
                                </a:ln>
                              </pic:spPr>
                            </pic:pic>
                          </a:graphicData>
                        </a:graphic>
                      </wp:inline>
                    </w:drawing>
                  </w:r>
                </w:p>
                <w:p w:rsidR="006D68C9" w:rsidRDefault="006D68C9">
                  <w:pPr>
                    <w:spacing w:line="256" w:lineRule="auto"/>
                    <w:jc w:val="center"/>
                    <w:rPr>
                      <w:rFonts w:ascii="Courier New" w:hAnsi="Courier New"/>
                      <w:b/>
                      <w:bCs/>
                      <w:sz w:val="6"/>
                      <w:szCs w:val="6"/>
                    </w:rPr>
                  </w:pPr>
                </w:p>
                <w:p w:rsidR="006D68C9" w:rsidRDefault="006D68C9">
                  <w:pPr>
                    <w:spacing w:line="256" w:lineRule="auto"/>
                    <w:jc w:val="center"/>
                    <w:rPr>
                      <w:rFonts w:ascii="Courier New" w:hAnsi="Courier New"/>
                      <w:b/>
                      <w:bCs/>
                      <w:sz w:val="6"/>
                      <w:szCs w:val="6"/>
                      <w:rtl/>
                    </w:rPr>
                  </w:pPr>
                </w:p>
                <w:p w:rsidR="006D68C9" w:rsidRDefault="006D68C9">
                  <w:pPr>
                    <w:spacing w:line="256" w:lineRule="auto"/>
                    <w:jc w:val="center"/>
                    <w:rPr>
                      <w:rFonts w:ascii="Courier New" w:hAnsi="Courier New"/>
                      <w:b/>
                      <w:bCs/>
                      <w:sz w:val="6"/>
                      <w:szCs w:val="6"/>
                      <w:rtl/>
                    </w:rPr>
                  </w:pPr>
                </w:p>
                <w:p w:rsidR="006D68C9" w:rsidRDefault="006D68C9">
                  <w:pPr>
                    <w:spacing w:line="256" w:lineRule="auto"/>
                    <w:jc w:val="center"/>
                    <w:rPr>
                      <w:rFonts w:ascii="Courier New" w:hAnsi="Courier New"/>
                      <w:b/>
                      <w:bCs/>
                      <w:sz w:val="6"/>
                      <w:szCs w:val="6"/>
                      <w:rtl/>
                    </w:rPr>
                  </w:pPr>
                </w:p>
              </w:tc>
              <w:tc>
                <w:tcPr>
                  <w:tcW w:w="222" w:type="dxa"/>
                  <w:tcBorders>
                    <w:top w:val="nil"/>
                    <w:left w:val="nil"/>
                    <w:bottom w:val="single" w:sz="4" w:space="0" w:color="auto"/>
                    <w:right w:val="nil"/>
                  </w:tcBorders>
                </w:tcPr>
                <w:p w:rsidR="006D68C9" w:rsidRDefault="006D68C9">
                  <w:pPr>
                    <w:spacing w:line="256" w:lineRule="auto"/>
                    <w:jc w:val="center"/>
                    <w:rPr>
                      <w:rtl/>
                    </w:rPr>
                  </w:pPr>
                </w:p>
              </w:tc>
            </w:tr>
            <w:tr w:rsidR="006D68C9">
              <w:tc>
                <w:tcPr>
                  <w:tcW w:w="2616" w:type="dxa"/>
                  <w:tcBorders>
                    <w:top w:val="single" w:sz="4" w:space="0" w:color="auto"/>
                    <w:left w:val="nil"/>
                    <w:bottom w:val="nil"/>
                    <w:right w:val="nil"/>
                  </w:tcBorders>
                  <w:hideMark/>
                </w:tcPr>
                <w:p w:rsidR="006D68C9" w:rsidRDefault="006D68C9">
                  <w:pPr>
                    <w:keepNext/>
                    <w:keepLines/>
                    <w:spacing w:before="40" w:line="256" w:lineRule="auto"/>
                    <w:jc w:val="center"/>
                    <w:outlineLvl w:val="2"/>
                    <w:rPr>
                      <w:rFonts w:asciiTheme="majorHAnsi" w:eastAsiaTheme="majorEastAsia" w:hAnsiTheme="majorHAnsi"/>
                      <w:b/>
                      <w:bCs/>
                      <w:sz w:val="28"/>
                      <w:rtl/>
                    </w:rPr>
                  </w:pPr>
                  <w:r>
                    <w:rPr>
                      <w:rFonts w:asciiTheme="majorHAnsi" w:eastAsiaTheme="majorEastAsia" w:hAnsiTheme="majorHAnsi"/>
                      <w:b/>
                      <w:bCs/>
                      <w:sz w:val="28"/>
                      <w:rtl/>
                    </w:rPr>
                    <w:t>אביגדור דורות,</w:t>
                  </w:r>
                  <w:r w:rsidR="00B37B1C">
                    <w:rPr>
                      <w:rFonts w:asciiTheme="majorHAnsi" w:eastAsiaTheme="majorEastAsia" w:hAnsiTheme="majorHAnsi" w:hint="cs"/>
                      <w:b/>
                      <w:bCs/>
                      <w:sz w:val="28"/>
                      <w:rtl/>
                    </w:rPr>
                    <w:t xml:space="preserve"> שופט</w:t>
                  </w:r>
                  <w:r>
                    <w:rPr>
                      <w:rFonts w:asciiTheme="majorHAnsi" w:eastAsiaTheme="majorEastAsia" w:hAnsiTheme="majorHAnsi"/>
                      <w:b/>
                      <w:bCs/>
                      <w:sz w:val="28"/>
                      <w:rtl/>
                    </w:rPr>
                    <w:t xml:space="preserve"> </w:t>
                  </w:r>
                </w:p>
                <w:p w:rsidR="006D68C9" w:rsidRDefault="006D68C9">
                  <w:pPr>
                    <w:keepNext/>
                    <w:keepLines/>
                    <w:spacing w:before="40" w:line="256" w:lineRule="auto"/>
                    <w:jc w:val="center"/>
                    <w:outlineLvl w:val="2"/>
                    <w:rPr>
                      <w:rFonts w:asciiTheme="majorHAnsi" w:eastAsiaTheme="majorEastAsia" w:hAnsiTheme="majorHAnsi"/>
                      <w:b/>
                      <w:bCs/>
                      <w:noProof w:val="0"/>
                      <w:sz w:val="28"/>
                    </w:rPr>
                  </w:pPr>
                  <w:r>
                    <w:rPr>
                      <w:rFonts w:asciiTheme="majorHAnsi" w:eastAsiaTheme="majorEastAsia" w:hAnsiTheme="majorHAnsi"/>
                      <w:b/>
                      <w:bCs/>
                      <w:sz w:val="28"/>
                      <w:rtl/>
                    </w:rPr>
                    <w:t>יו"ר</w:t>
                  </w:r>
                </w:p>
              </w:tc>
              <w:tc>
                <w:tcPr>
                  <w:tcW w:w="222" w:type="dxa"/>
                  <w:tcBorders>
                    <w:top w:val="single" w:sz="4" w:space="0" w:color="auto"/>
                    <w:left w:val="nil"/>
                    <w:bottom w:val="nil"/>
                    <w:right w:val="nil"/>
                  </w:tcBorders>
                </w:tcPr>
                <w:p w:rsidR="006D68C9" w:rsidRDefault="006D68C9">
                  <w:pPr>
                    <w:keepNext/>
                    <w:keepLines/>
                    <w:spacing w:before="40" w:line="256" w:lineRule="auto"/>
                    <w:jc w:val="center"/>
                    <w:outlineLvl w:val="2"/>
                    <w:rPr>
                      <w:rFonts w:asciiTheme="majorHAnsi" w:eastAsiaTheme="majorEastAsia" w:hAnsiTheme="majorHAnsi" w:cs="Times New Roman"/>
                      <w:color w:val="243F60" w:themeColor="accent1" w:themeShade="7F"/>
                      <w:sz w:val="14"/>
                      <w:szCs w:val="10"/>
                      <w:rtl/>
                    </w:rPr>
                  </w:pPr>
                </w:p>
              </w:tc>
            </w:tr>
          </w:tbl>
          <w:p w:rsidR="006D68C9" w:rsidRDefault="006D68C9">
            <w:pPr>
              <w:spacing w:line="360" w:lineRule="auto"/>
              <w:jc w:val="both"/>
              <w:rPr>
                <w:rFonts w:ascii="Arial" w:hAnsi="Arial"/>
              </w:rPr>
            </w:pPr>
          </w:p>
        </w:tc>
        <w:tc>
          <w:tcPr>
            <w:tcW w:w="2725" w:type="dxa"/>
          </w:tcPr>
          <w:p w:rsidR="006D68C9" w:rsidRDefault="000241F1">
            <w:pPr>
              <w:spacing w:line="256" w:lineRule="auto"/>
              <w:jc w:val="center"/>
              <w:rPr>
                <w:sz w:val="22"/>
                <w:szCs w:val="22"/>
              </w:rPr>
            </w:pPr>
            <w:r>
              <w:drawing>
                <wp:anchor distT="0" distB="0" distL="114300" distR="114300" simplePos="0" relativeHeight="251659264" behindDoc="0" locked="0" layoutInCell="1" allowOverlap="1">
                  <wp:simplePos x="0" y="0"/>
                  <wp:positionH relativeFrom="column">
                    <wp:posOffset>385655</wp:posOffset>
                  </wp:positionH>
                  <wp:positionV relativeFrom="paragraph">
                    <wp:posOffset>36000</wp:posOffset>
                  </wp:positionV>
                  <wp:extent cx="899160" cy="1008380"/>
                  <wp:effectExtent l="0" t="0" r="0" b="1270"/>
                  <wp:wrapSquare wrapText="bothSides"/>
                  <wp:docPr id="4" name="תמונה 4" descr="אברהם הלכמן 063930853"/>
                  <wp:cNvGraphicFramePr/>
                  <a:graphic xmlns:a="http://schemas.openxmlformats.org/drawingml/2006/main">
                    <a:graphicData uri="http://schemas.openxmlformats.org/drawingml/2006/picture">
                      <pic:pic xmlns:pic="http://schemas.openxmlformats.org/drawingml/2006/picture">
                        <pic:nvPicPr>
                          <pic:cNvPr id="4" name="תמונה 4" descr="אברהם הלכמן 06393085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9160" cy="1008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68C9" w:rsidRDefault="006D68C9">
            <w:pPr>
              <w:spacing w:line="256" w:lineRule="auto"/>
              <w:rPr>
                <w:sz w:val="2"/>
                <w:szCs w:val="2"/>
                <w:rtl/>
              </w:rPr>
            </w:pPr>
          </w:p>
          <w:p w:rsidR="006D68C9" w:rsidRDefault="006D68C9">
            <w:pPr>
              <w:spacing w:line="256" w:lineRule="auto"/>
              <w:rPr>
                <w:sz w:val="2"/>
                <w:szCs w:val="2"/>
              </w:rPr>
            </w:pPr>
          </w:p>
          <w:p w:rsidR="006D68C9" w:rsidRDefault="006D68C9">
            <w:pPr>
              <w:spacing w:line="256" w:lineRule="auto"/>
              <w:jc w:val="center"/>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p w:rsidR="006D68C9" w:rsidRDefault="006D68C9">
            <w:pPr>
              <w:spacing w:line="256" w:lineRule="auto"/>
              <w:rPr>
                <w:sz w:val="2"/>
                <w:szCs w:val="2"/>
                <w:rtl/>
              </w:rPr>
            </w:pPr>
          </w:p>
          <w:tbl>
            <w:tblPr>
              <w:bidiVisual/>
              <w:tblW w:w="0" w:type="auto"/>
              <w:tblLook w:val="01E0" w:firstRow="1" w:lastRow="1" w:firstColumn="1" w:lastColumn="1" w:noHBand="0" w:noVBand="0"/>
            </w:tblPr>
            <w:tblGrid>
              <w:gridCol w:w="2509"/>
            </w:tblGrid>
            <w:tr w:rsidR="006D68C9">
              <w:tc>
                <w:tcPr>
                  <w:tcW w:w="2691" w:type="dxa"/>
                  <w:tcBorders>
                    <w:top w:val="nil"/>
                    <w:left w:val="nil"/>
                    <w:bottom w:val="single" w:sz="4" w:space="0" w:color="auto"/>
                    <w:right w:val="nil"/>
                  </w:tcBorders>
                  <w:vAlign w:val="center"/>
                  <w:hideMark/>
                </w:tcPr>
                <w:p w:rsidR="006D68C9" w:rsidRDefault="006D68C9">
                  <w:pPr>
                    <w:spacing w:line="256" w:lineRule="auto"/>
                    <w:rPr>
                      <w:rFonts w:ascii="Courier New" w:hAnsi="Courier New"/>
                      <w:b/>
                      <w:bCs/>
                      <w:rtl/>
                    </w:rPr>
                  </w:pPr>
                </w:p>
              </w:tc>
            </w:tr>
            <w:tr w:rsidR="006D68C9">
              <w:tc>
                <w:tcPr>
                  <w:tcW w:w="2691" w:type="dxa"/>
                  <w:tcBorders>
                    <w:top w:val="single" w:sz="4" w:space="0" w:color="auto"/>
                    <w:left w:val="nil"/>
                    <w:bottom w:val="nil"/>
                    <w:right w:val="nil"/>
                  </w:tcBorders>
                  <w:hideMark/>
                </w:tcPr>
                <w:p w:rsidR="006D68C9" w:rsidRDefault="00932B43">
                  <w:pPr>
                    <w:keepNext/>
                    <w:keepLines/>
                    <w:spacing w:before="40" w:line="256" w:lineRule="auto"/>
                    <w:jc w:val="center"/>
                    <w:outlineLvl w:val="2"/>
                    <w:rPr>
                      <w:rFonts w:ascii="Calibri Light" w:hAnsi="Calibri Light"/>
                      <w:b/>
                      <w:bCs/>
                      <w:color w:val="000000"/>
                      <w:sz w:val="28"/>
                      <w:rtl/>
                    </w:rPr>
                  </w:pPr>
                  <w:r>
                    <w:rPr>
                      <w:rFonts w:ascii="Calibri Light" w:hAnsi="Calibri Light" w:hint="cs"/>
                      <w:b/>
                      <w:bCs/>
                      <w:color w:val="000000"/>
                      <w:sz w:val="28"/>
                      <w:rtl/>
                    </w:rPr>
                    <w:t>אברהם הוכמן</w:t>
                  </w:r>
                  <w:r w:rsidR="006D68C9">
                    <w:rPr>
                      <w:rFonts w:ascii="Calibri Light" w:hAnsi="Calibri Light"/>
                      <w:b/>
                      <w:bCs/>
                      <w:color w:val="000000"/>
                      <w:sz w:val="28"/>
                      <w:rtl/>
                    </w:rPr>
                    <w:t xml:space="preserve">, </w:t>
                  </w:r>
                </w:p>
                <w:p w:rsidR="006D68C9" w:rsidRDefault="00932B43">
                  <w:pPr>
                    <w:keepNext/>
                    <w:keepLines/>
                    <w:spacing w:before="40" w:line="256" w:lineRule="auto"/>
                    <w:jc w:val="center"/>
                    <w:outlineLvl w:val="2"/>
                    <w:rPr>
                      <w:rFonts w:asciiTheme="majorHAnsi" w:eastAsiaTheme="majorEastAsia" w:hAnsiTheme="majorHAnsi"/>
                      <w:b/>
                      <w:bCs/>
                      <w:rtl/>
                    </w:rPr>
                  </w:pPr>
                  <w:r>
                    <w:rPr>
                      <w:rFonts w:ascii="Calibri Light" w:hAnsi="Calibri Light"/>
                      <w:b/>
                      <w:bCs/>
                      <w:color w:val="000000"/>
                      <w:sz w:val="28"/>
                      <w:rtl/>
                    </w:rPr>
                    <w:t>חבר</w:t>
                  </w:r>
                  <w:r w:rsidR="006D68C9">
                    <w:rPr>
                      <w:rFonts w:ascii="Calibri Light" w:hAnsi="Calibri Light"/>
                      <w:b/>
                      <w:bCs/>
                      <w:color w:val="000000"/>
                      <w:sz w:val="28"/>
                      <w:rtl/>
                    </w:rPr>
                    <w:t xml:space="preserve"> וועדה</w:t>
                  </w:r>
                </w:p>
              </w:tc>
            </w:tr>
          </w:tbl>
          <w:p w:rsidR="006D68C9" w:rsidRDefault="006D68C9">
            <w:pPr>
              <w:spacing w:line="360" w:lineRule="auto"/>
              <w:jc w:val="both"/>
              <w:rPr>
                <w:rFonts w:ascii="Arial" w:hAnsi="Arial"/>
                <w:rtl/>
              </w:rPr>
            </w:pPr>
          </w:p>
        </w:tc>
        <w:tc>
          <w:tcPr>
            <w:tcW w:w="2725" w:type="dxa"/>
          </w:tcPr>
          <w:p w:rsidR="006D68C9" w:rsidRDefault="006D68C9">
            <w:pPr>
              <w:spacing w:line="256" w:lineRule="auto"/>
              <w:rPr>
                <w:sz w:val="4"/>
                <w:szCs w:val="4"/>
              </w:rPr>
            </w:pPr>
          </w:p>
          <w:tbl>
            <w:tblPr>
              <w:bidiVisual/>
              <w:tblW w:w="0" w:type="auto"/>
              <w:tblLook w:val="01E0" w:firstRow="1" w:lastRow="1" w:firstColumn="1" w:lastColumn="1" w:noHBand="0" w:noVBand="0"/>
            </w:tblPr>
            <w:tblGrid>
              <w:gridCol w:w="2392"/>
            </w:tblGrid>
            <w:tr w:rsidR="006D68C9">
              <w:trPr>
                <w:trHeight w:val="1675"/>
              </w:trPr>
              <w:tc>
                <w:tcPr>
                  <w:tcW w:w="2392" w:type="dxa"/>
                  <w:tcBorders>
                    <w:top w:val="nil"/>
                    <w:left w:val="nil"/>
                    <w:bottom w:val="single" w:sz="4" w:space="0" w:color="auto"/>
                    <w:right w:val="nil"/>
                  </w:tcBorders>
                  <w:hideMark/>
                </w:tcPr>
                <w:p w:rsidR="006D68C9" w:rsidRDefault="006D68C9">
                  <w:pPr>
                    <w:spacing w:line="256" w:lineRule="auto"/>
                    <w:jc w:val="center"/>
                  </w:pPr>
                  <w:r>
                    <w:drawing>
                      <wp:anchor distT="0" distB="0" distL="114300" distR="114300" simplePos="0" relativeHeight="251658240" behindDoc="0" locked="0" layoutInCell="1" allowOverlap="1">
                        <wp:simplePos x="0" y="0"/>
                        <wp:positionH relativeFrom="margin">
                          <wp:posOffset>214630</wp:posOffset>
                        </wp:positionH>
                        <wp:positionV relativeFrom="margin">
                          <wp:posOffset>292735</wp:posOffset>
                        </wp:positionV>
                        <wp:extent cx="1141095" cy="665480"/>
                        <wp:effectExtent l="0" t="0" r="1905" b="1270"/>
                        <wp:wrapSquare wrapText="bothSides"/>
                        <wp:docPr id="3" name="תמונה 3" descr="גבע בלט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גבע בלטר"/>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1095" cy="665480"/>
                                </a:xfrm>
                                <a:prstGeom prst="rect">
                                  <a:avLst/>
                                </a:prstGeom>
                                <a:noFill/>
                              </pic:spPr>
                            </pic:pic>
                          </a:graphicData>
                        </a:graphic>
                        <wp14:sizeRelH relativeFrom="page">
                          <wp14:pctWidth>0</wp14:pctWidth>
                        </wp14:sizeRelH>
                        <wp14:sizeRelV relativeFrom="page">
                          <wp14:pctHeight>0</wp14:pctHeight>
                        </wp14:sizeRelV>
                      </wp:anchor>
                    </w:drawing>
                  </w:r>
                </w:p>
              </w:tc>
            </w:tr>
            <w:tr w:rsidR="006D68C9">
              <w:tc>
                <w:tcPr>
                  <w:tcW w:w="2392" w:type="dxa"/>
                  <w:tcBorders>
                    <w:top w:val="single" w:sz="4" w:space="0" w:color="auto"/>
                    <w:left w:val="nil"/>
                    <w:bottom w:val="nil"/>
                    <w:right w:val="nil"/>
                  </w:tcBorders>
                  <w:hideMark/>
                </w:tcPr>
                <w:p w:rsidR="006D68C9" w:rsidRDefault="006D68C9">
                  <w:pPr>
                    <w:spacing w:line="256" w:lineRule="auto"/>
                    <w:jc w:val="center"/>
                    <w:rPr>
                      <w:b/>
                      <w:bCs/>
                    </w:rPr>
                  </w:pPr>
                  <w:r>
                    <w:rPr>
                      <w:b/>
                      <w:bCs/>
                      <w:rtl/>
                    </w:rPr>
                    <w:t>גב' גבע בלטר,</w:t>
                  </w:r>
                </w:p>
                <w:p w:rsidR="006D68C9" w:rsidRDefault="006D68C9">
                  <w:pPr>
                    <w:spacing w:line="256" w:lineRule="auto"/>
                    <w:jc w:val="center"/>
                    <w:rPr>
                      <w:b/>
                      <w:bCs/>
                    </w:rPr>
                  </w:pPr>
                  <w:r>
                    <w:rPr>
                      <w:b/>
                      <w:bCs/>
                      <w:rtl/>
                    </w:rPr>
                    <w:t>חברת וועדה</w:t>
                  </w:r>
                </w:p>
              </w:tc>
            </w:tr>
          </w:tbl>
          <w:p w:rsidR="006D68C9" w:rsidRDefault="006D68C9">
            <w:pPr>
              <w:spacing w:line="360" w:lineRule="auto"/>
              <w:jc w:val="both"/>
              <w:rPr>
                <w:rFonts w:ascii="Arial" w:hAnsi="Arial"/>
                <w:rtl/>
              </w:rPr>
            </w:pPr>
          </w:p>
        </w:tc>
      </w:tr>
    </w:tbl>
    <w:p w:rsidR="006D68C9" w:rsidRDefault="006D68C9" w:rsidP="006D68C9">
      <w:pPr>
        <w:spacing w:line="360" w:lineRule="auto"/>
        <w:jc w:val="both"/>
        <w:rPr>
          <w:rFonts w:ascii="David" w:hAnsi="David"/>
          <w:noProof w:val="0"/>
          <w:rtl/>
        </w:rPr>
      </w:pPr>
    </w:p>
    <w:sectPr w:rsidR="006D68C9"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3DE" w:rsidRDefault="000603DE">
      <w:r>
        <w:separator/>
      </w:r>
    </w:p>
  </w:endnote>
  <w:endnote w:type="continuationSeparator" w:id="0">
    <w:p w:rsidR="000603DE" w:rsidRDefault="0006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784" w:rsidRDefault="003F17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66105A">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66105A">
      <w:rPr>
        <w:rStyle w:val="ac"/>
        <w:rtl/>
      </w:rPr>
      <w:t>17</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784" w:rsidRDefault="003F17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3DE" w:rsidRDefault="000603DE">
      <w:r>
        <w:separator/>
      </w:r>
    </w:p>
  </w:footnote>
  <w:footnote w:type="continuationSeparator" w:id="0">
    <w:p w:rsidR="000603DE" w:rsidRDefault="0006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784" w:rsidRDefault="003F17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rsidTr="00C933CA">
      <w:trPr>
        <w:trHeight w:hRule="exact" w:val="851"/>
        <w:jc w:val="center"/>
      </w:trPr>
      <w:tc>
        <w:tcPr>
          <w:tcW w:w="8505"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p w:rsidR="00437917" w:rsidRPr="0035329E" w:rsidRDefault="00437917">
          <w:pPr>
            <w:pStyle w:val="a3"/>
            <w:jc w:val="center"/>
            <w:rPr>
              <w:rFonts w:ascii="Tahoma" w:hAnsi="Tahoma" w:cs="Tahoma"/>
              <w:b/>
              <w:bCs/>
              <w:noProof w:val="0"/>
              <w:color w:val="000080"/>
              <w:rtl/>
            </w:rPr>
          </w:pPr>
          <w:r w:rsidRPr="0035329E">
            <w:rPr>
              <w:rFonts w:ascii="Tahoma" w:hAnsi="Tahoma" w:cs="Tahoma" w:hint="cs"/>
              <w:b/>
              <w:bCs/>
              <w:noProof w:val="0"/>
              <w:color w:val="000080"/>
              <w:rtl/>
            </w:rPr>
            <w:t>בשבתו כו</w:t>
          </w:r>
          <w:r w:rsidR="0035329E">
            <w:rPr>
              <w:rFonts w:ascii="Tahoma" w:hAnsi="Tahoma" w:cs="Tahoma" w:hint="cs"/>
              <w:b/>
              <w:bCs/>
              <w:noProof w:val="0"/>
              <w:color w:val="000080"/>
              <w:rtl/>
            </w:rPr>
            <w:t>ו</w:t>
          </w:r>
          <w:r w:rsidRPr="0035329E">
            <w:rPr>
              <w:rFonts w:ascii="Tahoma" w:hAnsi="Tahoma" w:cs="Tahoma" w:hint="cs"/>
              <w:b/>
              <w:bCs/>
              <w:noProof w:val="0"/>
              <w:color w:val="000080"/>
              <w:rtl/>
            </w:rPr>
            <w:t>עדת ערר לפי חוק מיסוי מקרקעין</w:t>
          </w:r>
        </w:p>
      </w:tc>
    </w:tr>
    <w:tr w:rsidR="00694556" w:rsidTr="00C933CA">
      <w:trPr>
        <w:trHeight w:val="337"/>
        <w:jc w:val="center"/>
      </w:trPr>
      <w:tc>
        <w:tcPr>
          <w:tcW w:w="4914" w:type="dxa"/>
        </w:tcPr>
        <w:p w:rsidR="00694556" w:rsidRDefault="00694556">
          <w:pPr>
            <w:rPr>
              <w:b/>
              <w:bCs/>
              <w:noProof w:val="0"/>
              <w:sz w:val="26"/>
              <w:szCs w:val="26"/>
              <w:rtl/>
            </w:rPr>
          </w:pPr>
        </w:p>
      </w:tc>
      <w:tc>
        <w:tcPr>
          <w:tcW w:w="3591" w:type="dxa"/>
        </w:tcPr>
        <w:p w:rsidR="00694556" w:rsidRDefault="00437917" w:rsidP="00437917">
          <w:pPr>
            <w:pStyle w:val="a3"/>
            <w:jc w:val="right"/>
            <w:rPr>
              <w:b/>
              <w:bCs/>
              <w:noProof w:val="0"/>
              <w:sz w:val="26"/>
              <w:szCs w:val="26"/>
              <w:rtl/>
            </w:rPr>
          </w:pPr>
          <w:r>
            <w:rPr>
              <w:rFonts w:hint="cs"/>
              <w:b/>
              <w:bCs/>
              <w:noProof w:val="0"/>
              <w:sz w:val="26"/>
              <w:szCs w:val="26"/>
              <w:rtl/>
            </w:rPr>
            <w:t xml:space="preserve">7 </w:t>
          </w:r>
          <w:r w:rsidR="00005C8B">
            <w:rPr>
              <w:b/>
              <w:bCs/>
              <w:noProof w:val="0"/>
              <w:sz w:val="26"/>
              <w:szCs w:val="26"/>
              <w:rtl/>
            </w:rPr>
            <w:t>יו</w:t>
          </w:r>
          <w:r>
            <w:rPr>
              <w:rFonts w:hint="cs"/>
              <w:b/>
              <w:bCs/>
              <w:noProof w:val="0"/>
              <w:sz w:val="26"/>
              <w:szCs w:val="26"/>
              <w:rtl/>
            </w:rPr>
            <w:t>ל</w:t>
          </w:r>
          <w:r w:rsidR="00005C8B">
            <w:rPr>
              <w:b/>
              <w:bCs/>
              <w:noProof w:val="0"/>
              <w:sz w:val="26"/>
              <w:szCs w:val="26"/>
              <w:rtl/>
            </w:rPr>
            <w:t>י 2024</w:t>
          </w:r>
        </w:p>
      </w:tc>
    </w:tr>
    <w:tr w:rsidR="00694556" w:rsidTr="00C933CA">
      <w:trPr>
        <w:trHeight w:val="337"/>
        <w:jc w:val="center"/>
      </w:trPr>
      <w:tc>
        <w:tcPr>
          <w:tcW w:w="8505" w:type="dxa"/>
          <w:gridSpan w:val="2"/>
        </w:tcPr>
        <w:p w:rsidR="00694556" w:rsidRDefault="00986101" w:rsidP="00EF255D">
          <w:pPr>
            <w:rPr>
              <w:b/>
              <w:bCs/>
              <w:noProof w:val="0"/>
              <w:sz w:val="26"/>
              <w:szCs w:val="26"/>
              <w:rtl/>
            </w:rPr>
          </w:pPr>
          <w:r>
            <w:rPr>
              <w:b/>
              <w:bCs/>
              <w:noProof w:val="0"/>
              <w:sz w:val="26"/>
              <w:szCs w:val="26"/>
              <w:rtl/>
            </w:rPr>
            <w:t>ו"ע</w:t>
          </w:r>
          <w:r w:rsidR="00005C8B">
            <w:rPr>
              <w:b/>
              <w:bCs/>
              <w:noProof w:val="0"/>
              <w:sz w:val="26"/>
              <w:szCs w:val="26"/>
              <w:rtl/>
            </w:rPr>
            <w:t xml:space="preserve"> </w:t>
          </w:r>
          <w:r>
            <w:rPr>
              <w:b/>
              <w:bCs/>
              <w:noProof w:val="0"/>
              <w:sz w:val="26"/>
              <w:szCs w:val="26"/>
              <w:rtl/>
            </w:rPr>
            <w:t>3944-05-20</w:t>
          </w:r>
          <w:r w:rsidR="00005C8B">
            <w:rPr>
              <w:b/>
              <w:bCs/>
              <w:noProof w:val="0"/>
              <w:sz w:val="26"/>
              <w:szCs w:val="26"/>
              <w:rtl/>
            </w:rPr>
            <w:t xml:space="preserve"> </w:t>
          </w:r>
          <w:r>
            <w:rPr>
              <w:b/>
              <w:bCs/>
              <w:noProof w:val="0"/>
              <w:sz w:val="26"/>
              <w:szCs w:val="26"/>
              <w:rtl/>
            </w:rPr>
            <w:t>אברג</w:t>
          </w:r>
          <w:r w:rsidR="00E21481">
            <w:rPr>
              <w:rFonts w:hint="cs"/>
              <w:b/>
              <w:bCs/>
              <w:noProof w:val="0"/>
              <w:sz w:val="26"/>
              <w:szCs w:val="26"/>
              <w:rtl/>
            </w:rPr>
            <w:t>'</w:t>
          </w:r>
          <w:r>
            <w:rPr>
              <w:b/>
              <w:bCs/>
              <w:noProof w:val="0"/>
              <w:sz w:val="26"/>
              <w:szCs w:val="26"/>
              <w:rtl/>
            </w:rPr>
            <w:t xml:space="preserve">יל נ' </w:t>
          </w:r>
          <w:r w:rsidR="00EF255D">
            <w:rPr>
              <w:rFonts w:hint="cs"/>
              <w:b/>
              <w:bCs/>
              <w:noProof w:val="0"/>
              <w:sz w:val="26"/>
              <w:szCs w:val="26"/>
              <w:rtl/>
            </w:rPr>
            <w:t>מנהל מיסוי מקרקעין - ירושלים</w:t>
          </w:r>
        </w:p>
        <w:p w:rsidR="00694556" w:rsidRDefault="00986101" w:rsidP="00EF255D">
          <w:pPr>
            <w:rPr>
              <w:b/>
              <w:bCs/>
              <w:noProof w:val="0"/>
              <w:sz w:val="26"/>
              <w:szCs w:val="26"/>
              <w:rtl/>
            </w:rPr>
          </w:pPr>
          <w:r>
            <w:rPr>
              <w:b/>
              <w:bCs/>
              <w:noProof w:val="0"/>
              <w:sz w:val="26"/>
              <w:szCs w:val="26"/>
              <w:rtl/>
            </w:rPr>
            <w:t>ו"ע</w:t>
          </w:r>
          <w:r w:rsidR="00005C8B">
            <w:rPr>
              <w:b/>
              <w:bCs/>
              <w:noProof w:val="0"/>
              <w:sz w:val="26"/>
              <w:szCs w:val="26"/>
              <w:rtl/>
            </w:rPr>
            <w:t xml:space="preserve"> </w:t>
          </w:r>
          <w:r>
            <w:rPr>
              <w:b/>
              <w:bCs/>
              <w:noProof w:val="0"/>
              <w:sz w:val="26"/>
              <w:szCs w:val="26"/>
              <w:rtl/>
            </w:rPr>
            <w:t>61186-07-20</w:t>
          </w:r>
          <w:r w:rsidR="00005C8B">
            <w:rPr>
              <w:b/>
              <w:bCs/>
              <w:noProof w:val="0"/>
              <w:sz w:val="26"/>
              <w:szCs w:val="26"/>
              <w:rtl/>
            </w:rPr>
            <w:t xml:space="preserve"> </w:t>
          </w:r>
          <w:r>
            <w:rPr>
              <w:b/>
              <w:bCs/>
              <w:noProof w:val="0"/>
              <w:sz w:val="26"/>
              <w:szCs w:val="26"/>
              <w:rtl/>
            </w:rPr>
            <w:t>אברג</w:t>
          </w:r>
          <w:r w:rsidR="00E21481">
            <w:rPr>
              <w:rFonts w:hint="cs"/>
              <w:b/>
              <w:bCs/>
              <w:noProof w:val="0"/>
              <w:sz w:val="26"/>
              <w:szCs w:val="26"/>
              <w:rtl/>
            </w:rPr>
            <w:t>'</w:t>
          </w:r>
          <w:r>
            <w:rPr>
              <w:b/>
              <w:bCs/>
              <w:noProof w:val="0"/>
              <w:sz w:val="26"/>
              <w:szCs w:val="26"/>
              <w:rtl/>
            </w:rPr>
            <w:t xml:space="preserve">יל נ' </w:t>
          </w:r>
          <w:r w:rsidR="00EF255D">
            <w:rPr>
              <w:rFonts w:hint="cs"/>
              <w:b/>
              <w:bCs/>
              <w:noProof w:val="0"/>
              <w:sz w:val="26"/>
              <w:szCs w:val="26"/>
              <w:rtl/>
            </w:rPr>
            <w:t xml:space="preserve">מנהל מיסוי מקרקעין </w:t>
          </w:r>
          <w:r w:rsidR="00C933CA">
            <w:rPr>
              <w:b/>
              <w:bCs/>
              <w:noProof w:val="0"/>
              <w:sz w:val="26"/>
              <w:szCs w:val="26"/>
              <w:rtl/>
            </w:rPr>
            <w:t>–</w:t>
          </w:r>
          <w:r w:rsidR="00EF255D">
            <w:rPr>
              <w:rFonts w:hint="cs"/>
              <w:b/>
              <w:bCs/>
              <w:noProof w:val="0"/>
              <w:sz w:val="26"/>
              <w:szCs w:val="26"/>
              <w:rtl/>
            </w:rPr>
            <w:t xml:space="preserve"> ירושלים</w:t>
          </w:r>
        </w:p>
        <w:p w:rsidR="00C933CA" w:rsidRDefault="00C933CA" w:rsidP="00C933CA">
          <w:pPr>
            <w:spacing w:line="256" w:lineRule="auto"/>
            <w:rPr>
              <w:rFonts w:ascii="David" w:hAnsi="David"/>
              <w:noProof w:val="0"/>
            </w:rPr>
          </w:pPr>
          <w:r>
            <w:rPr>
              <w:rFonts w:ascii="David" w:hAnsi="David"/>
              <w:b/>
              <w:bCs/>
              <w:noProof w:val="0"/>
              <w:rtl/>
            </w:rPr>
            <w:t>ו"ע 3944-05-20 אברג</w:t>
          </w:r>
          <w:r>
            <w:rPr>
              <w:rFonts w:ascii="David" w:hAnsi="David" w:hint="cs"/>
              <w:b/>
              <w:bCs/>
              <w:noProof w:val="0"/>
              <w:rtl/>
            </w:rPr>
            <w:t>'</w:t>
          </w:r>
          <w:r>
            <w:rPr>
              <w:rFonts w:ascii="David" w:hAnsi="David"/>
              <w:b/>
              <w:bCs/>
              <w:noProof w:val="0"/>
              <w:rtl/>
            </w:rPr>
            <w:t xml:space="preserve">יל יגאל נ' </w:t>
          </w:r>
          <w:r>
            <w:rPr>
              <w:rFonts w:ascii="David" w:hAnsi="David" w:hint="cs"/>
              <w:b/>
              <w:bCs/>
              <w:noProof w:val="0"/>
              <w:rtl/>
            </w:rPr>
            <w:t>מנהל מיסוי מקרקעין - ירושלים</w:t>
          </w:r>
        </w:p>
        <w:p w:rsidR="00D92CBF" w:rsidRDefault="00C933CA" w:rsidP="00C933CA">
          <w:pPr>
            <w:spacing w:line="256" w:lineRule="auto"/>
            <w:rPr>
              <w:rtl/>
            </w:rPr>
          </w:pPr>
          <w:r>
            <w:rPr>
              <w:rFonts w:ascii="David" w:hAnsi="David"/>
              <w:b/>
              <w:bCs/>
              <w:noProof w:val="0"/>
              <w:rtl/>
            </w:rPr>
            <w:t>ו"ע 61186-07-20 אברג</w:t>
          </w:r>
          <w:r>
            <w:rPr>
              <w:rFonts w:ascii="David" w:hAnsi="David" w:hint="cs"/>
              <w:b/>
              <w:bCs/>
              <w:noProof w:val="0"/>
              <w:rtl/>
            </w:rPr>
            <w:t>'</w:t>
          </w:r>
          <w:r>
            <w:rPr>
              <w:rFonts w:ascii="David" w:hAnsi="David"/>
              <w:b/>
              <w:bCs/>
              <w:noProof w:val="0"/>
              <w:rtl/>
            </w:rPr>
            <w:t>יל יגאל נ' מנהל מיסוי מקרקעין</w:t>
          </w:r>
          <w:r>
            <w:rPr>
              <w:rFonts w:ascii="David" w:hAnsi="David" w:hint="cs"/>
              <w:b/>
              <w:bCs/>
              <w:noProof w:val="0"/>
              <w:rtl/>
            </w:rPr>
            <w:t xml:space="preserve"> </w:t>
          </w:r>
          <w:r>
            <w:rPr>
              <w:rFonts w:ascii="David" w:hAnsi="David"/>
              <w:b/>
              <w:bCs/>
              <w:noProof w:val="0"/>
              <w:rtl/>
            </w:rPr>
            <w:t xml:space="preserve">- ירושלים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784" w:rsidRDefault="003F17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D0102"/>
    <w:multiLevelType w:val="hybridMultilevel"/>
    <w:tmpl w:val="B8227F7A"/>
    <w:lvl w:ilvl="0" w:tplc="D694ADC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DA5FF4"/>
    <w:multiLevelType w:val="hybridMultilevel"/>
    <w:tmpl w:val="39248522"/>
    <w:lvl w:ilvl="0" w:tplc="D694ADCE">
      <w:start w:val="1"/>
      <w:numFmt w:val="decimal"/>
      <w:lvlText w:val="%1."/>
      <w:lvlJc w:val="left"/>
      <w:pPr>
        <w:ind w:left="720" w:hanging="360"/>
      </w:pPr>
      <w:rPr>
        <w:b w:val="0"/>
        <w:bCs w:val="0"/>
      </w:rPr>
    </w:lvl>
    <w:lvl w:ilvl="1" w:tplc="480EC854">
      <w:start w:val="1"/>
      <w:numFmt w:val="lowerLetter"/>
      <w:lvlText w:val="%2."/>
      <w:lvlJc w:val="left"/>
      <w:pPr>
        <w:ind w:left="1440" w:hanging="360"/>
      </w:pPr>
    </w:lvl>
    <w:lvl w:ilvl="2" w:tplc="E26E4548">
      <w:start w:val="1"/>
      <w:numFmt w:val="lowerRoman"/>
      <w:lvlText w:val="%3."/>
      <w:lvlJc w:val="right"/>
      <w:pPr>
        <w:ind w:left="2160" w:hanging="180"/>
      </w:pPr>
    </w:lvl>
    <w:lvl w:ilvl="3" w:tplc="617C393A">
      <w:start w:val="1"/>
      <w:numFmt w:val="decimal"/>
      <w:lvlText w:val="%4."/>
      <w:lvlJc w:val="left"/>
      <w:pPr>
        <w:ind w:left="2880" w:hanging="360"/>
      </w:pPr>
    </w:lvl>
    <w:lvl w:ilvl="4" w:tplc="D6B0D7E6">
      <w:start w:val="1"/>
      <w:numFmt w:val="lowerLetter"/>
      <w:lvlText w:val="%5."/>
      <w:lvlJc w:val="left"/>
      <w:pPr>
        <w:ind w:left="3600" w:hanging="360"/>
      </w:pPr>
    </w:lvl>
    <w:lvl w:ilvl="5" w:tplc="24124FAE">
      <w:start w:val="1"/>
      <w:numFmt w:val="lowerRoman"/>
      <w:lvlText w:val="%6."/>
      <w:lvlJc w:val="right"/>
      <w:pPr>
        <w:ind w:left="4320" w:hanging="180"/>
      </w:pPr>
    </w:lvl>
    <w:lvl w:ilvl="6" w:tplc="3F5AE28C">
      <w:start w:val="1"/>
      <w:numFmt w:val="decimal"/>
      <w:lvlText w:val="%7."/>
      <w:lvlJc w:val="left"/>
      <w:pPr>
        <w:ind w:left="5040" w:hanging="360"/>
      </w:pPr>
    </w:lvl>
    <w:lvl w:ilvl="7" w:tplc="AA809C68">
      <w:start w:val="1"/>
      <w:numFmt w:val="lowerLetter"/>
      <w:lvlText w:val="%8."/>
      <w:lvlJc w:val="left"/>
      <w:pPr>
        <w:ind w:left="5760" w:hanging="360"/>
      </w:pPr>
    </w:lvl>
    <w:lvl w:ilvl="8" w:tplc="A90E1208">
      <w:start w:val="1"/>
      <w:numFmt w:val="lowerRoman"/>
      <w:lvlText w:val="%9."/>
      <w:lvlJc w:val="right"/>
      <w:pPr>
        <w:ind w:left="6480" w:hanging="180"/>
      </w:pPr>
    </w:lvl>
  </w:abstractNum>
  <w:abstractNum w:abstractNumId="2" w15:restartNumberingAfterBreak="0">
    <w:nsid w:val="60F90E4E"/>
    <w:multiLevelType w:val="hybridMultilevel"/>
    <w:tmpl w:val="17E0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3C3A4D"/>
    <w:multiLevelType w:val="hybridMultilevel"/>
    <w:tmpl w:val="94122408"/>
    <w:lvl w:ilvl="0" w:tplc="39AE4448">
      <w:start w:val="1"/>
      <w:numFmt w:val="hebrew1"/>
      <w:lvlText w:val="%1."/>
      <w:lvlJc w:val="center"/>
      <w:pPr>
        <w:ind w:left="720" w:hanging="360"/>
      </w:pPr>
    </w:lvl>
    <w:lvl w:ilvl="1" w:tplc="D73CB38A">
      <w:start w:val="1"/>
      <w:numFmt w:val="lowerLetter"/>
      <w:lvlText w:val="%2."/>
      <w:lvlJc w:val="left"/>
      <w:pPr>
        <w:ind w:left="1440" w:hanging="360"/>
      </w:pPr>
    </w:lvl>
    <w:lvl w:ilvl="2" w:tplc="46BE4602">
      <w:start w:val="1"/>
      <w:numFmt w:val="lowerRoman"/>
      <w:lvlText w:val="%3."/>
      <w:lvlJc w:val="right"/>
      <w:pPr>
        <w:ind w:left="2160" w:hanging="180"/>
      </w:pPr>
    </w:lvl>
    <w:lvl w:ilvl="3" w:tplc="32CE5B56">
      <w:start w:val="1"/>
      <w:numFmt w:val="decimal"/>
      <w:lvlText w:val="%4."/>
      <w:lvlJc w:val="left"/>
      <w:pPr>
        <w:ind w:left="2880" w:hanging="360"/>
      </w:pPr>
    </w:lvl>
    <w:lvl w:ilvl="4" w:tplc="4A5E7962">
      <w:start w:val="1"/>
      <w:numFmt w:val="lowerLetter"/>
      <w:lvlText w:val="%5."/>
      <w:lvlJc w:val="left"/>
      <w:pPr>
        <w:ind w:left="3600" w:hanging="360"/>
      </w:pPr>
    </w:lvl>
    <w:lvl w:ilvl="5" w:tplc="4AF06112">
      <w:start w:val="1"/>
      <w:numFmt w:val="lowerRoman"/>
      <w:lvlText w:val="%6."/>
      <w:lvlJc w:val="right"/>
      <w:pPr>
        <w:ind w:left="4320" w:hanging="180"/>
      </w:pPr>
    </w:lvl>
    <w:lvl w:ilvl="6" w:tplc="7BE68908">
      <w:start w:val="1"/>
      <w:numFmt w:val="decimal"/>
      <w:lvlText w:val="%7."/>
      <w:lvlJc w:val="left"/>
      <w:pPr>
        <w:ind w:left="5040" w:hanging="360"/>
      </w:pPr>
    </w:lvl>
    <w:lvl w:ilvl="7" w:tplc="5FE440EE">
      <w:start w:val="1"/>
      <w:numFmt w:val="lowerLetter"/>
      <w:lvlText w:val="%8."/>
      <w:lvlJc w:val="left"/>
      <w:pPr>
        <w:ind w:left="5760" w:hanging="360"/>
      </w:pPr>
    </w:lvl>
    <w:lvl w:ilvl="8" w:tplc="4A0AC26C">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646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364685&amp;lt;/CaseID&amp;gt;_x000d__x000a_        &amp;lt;CaseMonth&amp;gt;5&amp;lt;/CaseMonth&amp;gt;_x000d__x000a_        &amp;lt;CaseYear&amp;gt;2020&amp;lt;/CaseYear&amp;gt;_x000d__x000a_        &amp;lt;CaseNumber&amp;gt;3944&amp;lt;/CaseNumber&amp;gt;_x000d__x000a_        &amp;lt;NumeratorGroupID&amp;gt;1&amp;lt;/NumeratorGroupID&amp;gt;_x000d__x000a_        &amp;lt;CaseName&amp;gt;אברגיל נ&amp;#39; מס שבח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1&amp;lt;/PrivilegeID&amp;gt;_x000d__x000a_        &amp;lt;IsAppealingCaseExist&amp;gt;false&amp;lt;/IsAppealingCaseExist&amp;gt;_x000d__x000a_        &amp;lt;CaseDisplayIdentifier&amp;gt;3944-05-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5-03T15:53: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364685&amp;lt;/CaseID&amp;gt;_x000d__x000a_        &amp;lt;CaseMonth&amp;gt;5&amp;lt;/CaseMonth&amp;gt;_x000d__x000a_        &amp;lt;CaseYear&amp;gt;2020&amp;lt;/CaseYear&amp;gt;_x000d__x000a_        &amp;lt;CaseNumber&amp;gt;3944&amp;lt;/CaseNumber&amp;gt;_x000d__x000a_        &amp;lt;NumeratorGroupID&amp;gt;1&amp;lt;/NumeratorGroupID&amp;gt;_x000d__x000a_        &amp;lt;CaseName&amp;gt;אברגיל נ&amp;#39; מס שבח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1&amp;lt;/PrivilegeID&amp;gt;_x000d__x000a_        &amp;lt;IsAppealingCaseExist&amp;gt;false&amp;lt;/IsAppealingCaseExist&amp;gt;_x000d__x000a_        &amp;lt;CaseDisplayIdentifier&amp;gt;3944-05-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0-05-03T15:53: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28586&amp;lt;/DecisionID&amp;gt;_x000d__x000a_        &amp;lt;DecisionName&amp;gt;פסק דין  שניתנה ע&amp;quot;י  אביגדור דורות&amp;lt;/DecisionName&amp;gt;_x000d__x000a_        &amp;lt;DecisionStatusID&amp;gt;1&amp;lt;/DecisionStatusID&amp;gt;_x000d__x000a_        &amp;lt;DecisionStatusChangeDate&amp;gt;2024-07-07T12:22:53.85+03:00&amp;lt;/DecisionStatusChangeDate&amp;gt;_x000d__x000a_        &amp;lt;DecisionSignatureDate&amp;gt;2024-06-30T14:38:24.123+03:00&amp;lt;/DecisionSignatureDate&amp;gt;_x000d__x000a_        &amp;lt;DecisionSignatureUserID&amp;gt;055121115@GOV.IL&amp;lt;/DecisionSignatureUserID&amp;gt;_x000d__x000a_        &amp;lt;DecisionCreateDate&amp;gt;2024-06-30T09:40:05.833+03:00&amp;lt;/DecisionCreateDate&amp;gt;_x000d__x000a_        &amp;lt;DecisionChangeDate&amp;gt;2024-07-07T12:22:53.973+03:00&amp;lt;/DecisionChangeDate&amp;gt;_x000d__x000a_        &amp;lt;DecisionChangeUserID&amp;gt;04303786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22538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528586&amp;lt;/DecisionID&amp;gt;_x000d__x000a_        &amp;lt;CaseID&amp;gt;77595019&amp;lt;/CaseID&amp;gt;_x000d__x000a_        &amp;lt;IsOriginal&amp;gt;false&amp;lt;/IsOriginal&amp;gt;_x000d__x000a_        &amp;lt;IsDeleted&amp;gt;false&amp;lt;/IsDeleted&amp;gt;_x000d__x000a_        &amp;lt;CaseLinkTypeID&amp;gt;1&amp;lt;/CaseLinkTypeID&amp;gt;_x000d__x000a_        &amp;lt;CaseName&amp;gt;אברגיל נ&amp;#39; מס שבח ירושלים&amp;lt;/CaseName&amp;gt;_x000d__x000a_        &amp;lt;CaseDisplayIdentifier&amp;gt;61186-07-20 ו&amp;quot;ע&amp;lt;/CaseDisplayIdentifier&amp;gt;_x000d__x000a_      &amp;lt;/dt_DecisionCase&amp;gt;_x000d__x000a_      &amp;lt;dt_DecisionCase diffgr:id=&amp;quot;dt_DecisionCase2&amp;quot; msdata:rowOrder=&amp;quot;1&amp;quot;&amp;gt;_x000d__x000a_        &amp;lt;DecisionID&amp;gt;152528586&amp;lt;/DecisionID&amp;gt;_x000d__x000a_        &amp;lt;CaseID&amp;gt;77364685&amp;lt;/CaseID&amp;gt;_x000d__x000a_        &amp;lt;IsOriginal&amp;gt;true&amp;lt;/IsOriginal&amp;gt;_x000d__x000a_        &amp;lt;IsDeleted&amp;gt;false&amp;lt;/IsDeleted&amp;gt;_x000d__x000a_        &amp;lt;CaseLinkTypeID&amp;gt;1&amp;lt;/CaseLinkTypeID&amp;gt;_x000d__x000a_        &amp;lt;CaseName&amp;gt;אברגיל נ&amp;#39; מס שבח ירושלים&amp;lt;/CaseName&amp;gt;_x000d__x000a_        &amp;lt;CaseDisplayIdentifier&amp;gt;3944-05-20 ו&amp;quot;ע&amp;lt;/CaseDisplayIdentifier&amp;gt;_x000d__x000a_      &amp;lt;/dt_DecisionCase&amp;gt;_x000d__x000a_    &amp;lt;/DecisionDS&amp;gt;_x000d__x000a_  &amp;lt;/diffgr:diffgram&amp;gt;_x000d__x000a_&amp;lt;/DecisionDS&amp;gt;"/>
    <w:docVar w:name="DecisionID" w:val="152528586"/>
    <w:docVar w:name="WordClientAssemblyName" w:val="NGCS.Decision.ClientWordBL"/>
    <w:docVar w:name="WordClientClassName" w:val="NGCS.Decision.ClientWordBL.DecisionClient"/>
  </w:docVars>
  <w:rsids>
    <w:rsidRoot w:val="00694556"/>
    <w:rsid w:val="00000B01"/>
    <w:rsid w:val="00005C8B"/>
    <w:rsid w:val="00016C35"/>
    <w:rsid w:val="000241F1"/>
    <w:rsid w:val="000564AB"/>
    <w:rsid w:val="000603DE"/>
    <w:rsid w:val="00060C9D"/>
    <w:rsid w:val="0008204B"/>
    <w:rsid w:val="00083D39"/>
    <w:rsid w:val="000E0CD0"/>
    <w:rsid w:val="00105635"/>
    <w:rsid w:val="00117C2B"/>
    <w:rsid w:val="00136B4C"/>
    <w:rsid w:val="0014234E"/>
    <w:rsid w:val="00185DB8"/>
    <w:rsid w:val="001C4003"/>
    <w:rsid w:val="001E26AC"/>
    <w:rsid w:val="00207B7F"/>
    <w:rsid w:val="002C070D"/>
    <w:rsid w:val="0034464C"/>
    <w:rsid w:val="0035329E"/>
    <w:rsid w:val="003944DB"/>
    <w:rsid w:val="003E3064"/>
    <w:rsid w:val="003F1784"/>
    <w:rsid w:val="00426354"/>
    <w:rsid w:val="00437917"/>
    <w:rsid w:val="00470831"/>
    <w:rsid w:val="004E6E3C"/>
    <w:rsid w:val="00547DB7"/>
    <w:rsid w:val="00557722"/>
    <w:rsid w:val="005B62EA"/>
    <w:rsid w:val="00622BAA"/>
    <w:rsid w:val="00625C89"/>
    <w:rsid w:val="00643C53"/>
    <w:rsid w:val="0066105A"/>
    <w:rsid w:val="00671BD5"/>
    <w:rsid w:val="006805C1"/>
    <w:rsid w:val="00693F73"/>
    <w:rsid w:val="00694556"/>
    <w:rsid w:val="006B23BF"/>
    <w:rsid w:val="006D68C9"/>
    <w:rsid w:val="006E1A53"/>
    <w:rsid w:val="007056AA"/>
    <w:rsid w:val="007464FB"/>
    <w:rsid w:val="007A24FE"/>
    <w:rsid w:val="007E0ECB"/>
    <w:rsid w:val="007E7A80"/>
    <w:rsid w:val="0081408E"/>
    <w:rsid w:val="00820005"/>
    <w:rsid w:val="00846D27"/>
    <w:rsid w:val="00847D6E"/>
    <w:rsid w:val="00877831"/>
    <w:rsid w:val="008B74C0"/>
    <w:rsid w:val="008D0CE1"/>
    <w:rsid w:val="008D3D1E"/>
    <w:rsid w:val="008D7571"/>
    <w:rsid w:val="00903896"/>
    <w:rsid w:val="00910591"/>
    <w:rsid w:val="00932B43"/>
    <w:rsid w:val="00986101"/>
    <w:rsid w:val="00A20182"/>
    <w:rsid w:val="00A231F0"/>
    <w:rsid w:val="00AA0F83"/>
    <w:rsid w:val="00AF1ED6"/>
    <w:rsid w:val="00B06118"/>
    <w:rsid w:val="00B37B1C"/>
    <w:rsid w:val="00B51453"/>
    <w:rsid w:val="00B545C3"/>
    <w:rsid w:val="00B7226C"/>
    <w:rsid w:val="00B80CBD"/>
    <w:rsid w:val="00B8607E"/>
    <w:rsid w:val="00B947CC"/>
    <w:rsid w:val="00B96768"/>
    <w:rsid w:val="00C64B2A"/>
    <w:rsid w:val="00C66E4D"/>
    <w:rsid w:val="00C933CA"/>
    <w:rsid w:val="00CC56C7"/>
    <w:rsid w:val="00D53924"/>
    <w:rsid w:val="00D92CBF"/>
    <w:rsid w:val="00D96D8C"/>
    <w:rsid w:val="00DA4805"/>
    <w:rsid w:val="00E21481"/>
    <w:rsid w:val="00E3782C"/>
    <w:rsid w:val="00E54642"/>
    <w:rsid w:val="00E66499"/>
    <w:rsid w:val="00E90DE1"/>
    <w:rsid w:val="00E97908"/>
    <w:rsid w:val="00EC0188"/>
    <w:rsid w:val="00EF255D"/>
    <w:rsid w:val="00F64BC8"/>
    <w:rsid w:val="00FA09A2"/>
    <w:rsid w:val="00FD560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35617E3-6949-46B7-8B9B-2E6315C6D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86101"/>
    <w:rPr>
      <w:color w:val="808080"/>
    </w:rPr>
  </w:style>
  <w:style w:type="paragraph" w:styleId="NormalWeb">
    <w:name w:val="Normal (Web)"/>
    <w:basedOn w:val="a"/>
    <w:uiPriority w:val="99"/>
    <w:semiHidden/>
    <w:unhideWhenUsed/>
    <w:rsid w:val="006D68C9"/>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6D68C9"/>
    <w:rPr>
      <w:rFonts w:cs="David"/>
      <w:noProof/>
      <w:sz w:val="24"/>
      <w:szCs w:val="24"/>
    </w:rPr>
  </w:style>
  <w:style w:type="paragraph" w:styleId="ae">
    <w:name w:val="List Paragraph"/>
    <w:basedOn w:val="a"/>
    <w:uiPriority w:val="34"/>
    <w:qFormat/>
    <w:rsid w:val="006D68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991683">
      <w:bodyDiv w:val="1"/>
      <w:marLeft w:val="0"/>
      <w:marRight w:val="0"/>
      <w:marTop w:val="0"/>
      <w:marBottom w:val="0"/>
      <w:divBdr>
        <w:top w:val="none" w:sz="0" w:space="0" w:color="auto"/>
        <w:left w:val="none" w:sz="0" w:space="0" w:color="auto"/>
        <w:bottom w:val="none" w:sz="0" w:space="0" w:color="auto"/>
        <w:right w:val="none" w:sz="0" w:space="0" w:color="auto"/>
      </w:divBdr>
    </w:div>
    <w:div w:id="432555987">
      <w:bodyDiv w:val="1"/>
      <w:marLeft w:val="0"/>
      <w:marRight w:val="0"/>
      <w:marTop w:val="0"/>
      <w:marBottom w:val="0"/>
      <w:divBdr>
        <w:top w:val="none" w:sz="0" w:space="0" w:color="auto"/>
        <w:left w:val="none" w:sz="0" w:space="0" w:color="auto"/>
        <w:bottom w:val="none" w:sz="0" w:space="0" w:color="auto"/>
        <w:right w:val="none" w:sz="0" w:space="0" w:color="auto"/>
      </w:divBdr>
    </w:div>
    <w:div w:id="562982095">
      <w:bodyDiv w:val="1"/>
      <w:marLeft w:val="0"/>
      <w:marRight w:val="0"/>
      <w:marTop w:val="0"/>
      <w:marBottom w:val="0"/>
      <w:divBdr>
        <w:top w:val="none" w:sz="0" w:space="0" w:color="auto"/>
        <w:left w:val="none" w:sz="0" w:space="0" w:color="auto"/>
        <w:bottom w:val="none" w:sz="0" w:space="0" w:color="auto"/>
        <w:right w:val="none" w:sz="0" w:space="0" w:color="auto"/>
      </w:divBdr>
    </w:div>
    <w:div w:id="592977458">
      <w:bodyDiv w:val="1"/>
      <w:marLeft w:val="0"/>
      <w:marRight w:val="0"/>
      <w:marTop w:val="0"/>
      <w:marBottom w:val="0"/>
      <w:divBdr>
        <w:top w:val="none" w:sz="0" w:space="0" w:color="auto"/>
        <w:left w:val="none" w:sz="0" w:space="0" w:color="auto"/>
        <w:bottom w:val="none" w:sz="0" w:space="0" w:color="auto"/>
        <w:right w:val="none" w:sz="0" w:space="0" w:color="auto"/>
      </w:divBdr>
    </w:div>
    <w:div w:id="7180448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053243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241381">
      <w:bodyDiv w:val="1"/>
      <w:marLeft w:val="0"/>
      <w:marRight w:val="0"/>
      <w:marTop w:val="0"/>
      <w:marBottom w:val="0"/>
      <w:divBdr>
        <w:top w:val="none" w:sz="0" w:space="0" w:color="auto"/>
        <w:left w:val="none" w:sz="0" w:space="0" w:color="auto"/>
        <w:bottom w:val="none" w:sz="0" w:space="0" w:color="auto"/>
        <w:right w:val="none" w:sz="0" w:space="0" w:color="auto"/>
      </w:divBdr>
    </w:div>
    <w:div w:id="208116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233681827</CasePartyID>
        <PartyTypeID>3</PartyTypeID>
        <ActivityStatusID>1</ActivityStatusID>
        <LegalEntityID>79441557</LegalEntityID>
        <CaseLegalEntityID>117559400</CaseLegalEntityID>
        <AssistantRoleID>112</AssistantRoleID>
        <AuthenticationTypeID>39</AuthenticationTypeID>
        <AuthenticationTypeName>חבר ועדה</AuthenticationTypeName>
        <LegalEntityNumber>273</LegalEntityNumber>
        <IsMainPartyType>true</IsMainPartyType>
        <CaseDisplayIdentifier>3944-05-20</CaseDisplayIdentifier>
        <CaseTypeID>14</CaseTypeID>
        <CaseTypeName>ועדת ערר (ו"ע)</CaseTypeName>
        <CaseName>אברגיל נ' מס שבח ירושלים</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אברהם הוכמן</FullName>
        <FirstName>אברהם</FirstName>
        <LastName>הוכמן</LastName>
        <PartyPropertyName/>
        <AuthenticationTypeAndNumber>ת"ז 063930853</AuthenticationTypeAndNumber>
        <RepresentatedOrRepresentativesNames/>
        <RepresentatedOrRepresentativesCount>0</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243396565</CasePartyID>
        <PartyTypeID>3</PartyTypeID>
        <ActivityStatusID>1</ActivityStatusID>
        <LegalEntityID>70081607</LegalEntityID>
        <CaseLegalEntityID>120486067</CaseLegalEntityID>
        <AssistantRoleID>112</AssistantRoleID>
        <AuthenticationTypeID>1</AuthenticationTypeID>
        <AuthenticationTypeName>ת"ז</AuthenticationTypeName>
        <LegalEntityNumber>063930853</LegalEntityNumber>
        <IsMainPartyType>true</IsMainPartyType>
        <CaseDisplayIdentifier>3944-05-20</CaseDisplayIdentifier>
        <CaseTypeID>14</CaseTypeID>
        <CaseTypeName>ועדת ערר (ו"ע)</CaseTypeName>
        <CaseName>אברגיל נ' מס שבח ירושלים</CaseName>
        <FullAddress>הארז 19 רעננה </FullAddress>
        <EmailAddress>avi_hochman@hotmail.com</EmailAddress>
        <MotionID>0</MotionID>
        <CasePleaID>0</CasePleaID>
        <FatherName>הרש</FatherName>
        <LinkedCaseID>0</LinkedCaseID>
        <PartyID>1</PartyID>
        <CasePartyCategoryID>2</CasePartyCategoryID>
        <LegalEntityAddressID>86729783</LegalEntityAddressID>
        <LegalEntityEmailAddressID>68194014</LegalEntityEmailAddressID>
        <PleaTypeID>18</PleaTypeID>
        <GroupPartyAlias/>
        <IsConverted>false</IsConverted>
        <LegalEntityRegisteredNameID>2467214</LegalEntityRegisteredNameID>
        <LegalEntityNameID>93383471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הוכמן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יגאל אברגיל</FullName>
        <FirstName>יגאל</FirstName>
        <LastName>אברגיל</LastName>
        <PartyPropertyName/>
        <AuthenticationTypeAndNumber>ת"ז 055858823</AuthenticationTypeAndNumber>
        <RepresentatedOrRepresentativesNames>רני שורץ</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210823001</CasePartyID>
        <PartyTypeID>1</PartyTypeID>
        <ActivityStatusID>1</ActivityStatusID>
        <PartyAliasID>16</PartyAliasID>
        <PartyAliasName>עורר</PartyAliasName>
        <OrdinalNumber>1</OrdinalNumber>
        <LegalEntityID>69517545</LegalEntityID>
        <CaseLegalEntityID>110738413</CaseLegalEntityID>
        <AuthenticationTypeID>1</AuthenticationTypeID>
        <AuthenticationTypeName>ת"ז</AuthenticationTypeName>
        <LegalEntityNumber>055858823</LegalEntityNumber>
        <IsMainPartyType>true</IsMainPartyType>
        <CaseDisplayIdentifier>3944-05-20</CaseDisplayIdentifier>
        <CaseTypeID>14</CaseTypeID>
        <CaseTypeName>ועדת ערר (ו"ע)</CaseTypeName>
        <CaseName>אברגיל נ' מס שבח ירושלים</CaseName>
        <FullAddress>הנמל 33 חיפה </FullAddress>
        <MotionID>0</MotionID>
        <CasePleaID>0</CasePleaID>
        <BirthDate>1959-07-20T00:00:00+03:00</BirthDate>
        <FatherName>מאיר    </FatherName>
        <LinkedCaseID>0</LinkedCaseID>
        <PartyID>1</PartyID>
        <CasePartyCategoryID>2</CasePartyCategoryID>
        <LegalEntityAddressID>83849084</LegalEntityAddressID>
        <PleaTypeID>18</PleaTypeID>
        <GroupPartyAlias>עוררים</GroupPartyAlias>
        <IsConverted>false</IsConverted>
        <LegalEntityRegisteredNameID>2138254</LegalEntityRegisteredNameID>
        <LegalEntityNameID>89532482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אברגיל</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רני שורץ</FullName>
        <FirstName>רני</FirstName>
        <LastName>שורץ</LastName>
        <PartyPropertyName/>
        <AuthenticationTypeAndNumber>מ.ר. 36264</AuthenticationTypeAndNumber>
        <RepresentatedOrRepresentativesNames>יגאל אברגיל</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210823002</CasePartyID>
        <PartyTypeID>2</PartyTypeID>
        <ActivityStatusID>1</ActivityStatusID>
        <PartyAliasID>35</PartyAliasID>
        <PartyAliasName>בא כוח עוררים</PartyAliasName>
        <OrdinalNumber>1</OrdinalNumber>
        <LegalEntityID>412829</LegalEntityID>
        <CaseLegalEntityID>110738414</CaseLegalEntityID>
        <AuthenticationTypeID>4</AuthenticationTypeID>
        <AuthenticationTypeName>מ.ר.</AuthenticationTypeName>
        <LegalEntityNumber>36264</LegalEntityNumber>
        <IsMainPartyType>true</IsMainPartyType>
        <CaseDisplayIdentifier>3944-05-20</CaseDisplayIdentifier>
        <CaseTypeID>14</CaseTypeID>
        <CaseTypeName>ועדת ערר (ו"ע)</CaseTypeName>
        <CaseName>אברגיל נ' מס שבח ירושלים</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18</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ירושלים</FullName>
        <LastName>מס שבח ירושלים</LastName>
        <PartyPropertyName/>
        <AuthenticationTypeAndNumber>גופים על פי דין 513436312</AuthenticationTypeAndNumber>
        <RepresentatedOrRepresentativesNames>קרן יוסט</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210823003</CasePartyID>
        <PartyTypeID>1</PartyTypeID>
        <ActivityStatusID>1</ActivityStatusID>
        <PartyAliasID>4</PartyAliasID>
        <PartyAliasName>משיב</PartyAliasName>
        <OrdinalNumber>1</OrdinalNumber>
        <LegalEntityID>15868161</LegalEntityID>
        <CaseLegalEntityID>110738415</CaseLegalEntityID>
        <AuthenticationTypeID>17</AuthenticationTypeID>
        <AuthenticationTypeName>גופים על פי דין</AuthenticationTypeName>
        <LegalEntityNumber>513436312</LegalEntityNumber>
        <IsMainPartyType>true</IsMainPartyType>
        <CaseDisplayIdentifier>3944-05-20</CaseDisplayIdentifier>
        <CaseTypeID>14</CaseTypeID>
        <CaseTypeName>ועדת ערר (ו"ע)</CaseTypeName>
        <CaseName>אברגיל נ' מס שבח ירושלים</CaseName>
        <FullAddress>כנפי נשרים 66 ירושלים סניף גבעת שאול</FullAddress>
        <MotionID>0</MotionID>
        <CasePleaID>0</CasePleaID>
        <LinkedCaseID>0</LinkedCaseID>
        <PartyID>2</PartyID>
        <CasePartyCategoryID>2</CasePartyCategoryID>
        <LegalEntityAddressID>16132217</LegalEntityAddressID>
        <PleaTypeID>18</PleaTypeID>
        <GroupPartyAlias>משיבים</GroupPartyAlias>
        <IsConverted>false</IsConverted>
        <LegalEntityRegisteredNameID>1722105</LegalEntityRegisteredNameID>
        <RepresentatedNamesOfAssistant/>
        <LegalEntityTypeID>3</LegalEntityTypeID>
        <IsVerdictExists>false</IsVerdictExists>
        <IsAsirAzir>false</IsAsirAzir>
        <IsPublicationProhibited>false</IsPublicationProhibited>
        <PublicationProhibitedFullName>מס שבח ירושלים</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260961719</CasePartyID>
        <PartyTypeID>2</PartyTypeID>
        <ActivityStatusID>1</ActivityStatusID>
        <PartyAliasID>23</PartyAliasID>
        <PartyAliasName>בא כוח משיבים</PartyAliasName>
        <OrdinalNumber>1</OrdinalNumber>
        <LegalEntityID>401563</LegalEntityID>
        <CaseLegalEntityID>126068280</CaseLegalEntityID>
        <AuthenticationTypeID>4</AuthenticationTypeID>
        <AuthenticationTypeName>מ.ר.</AuthenticationTypeName>
        <LegalEntityNumber>23388</LegalEntityNumber>
        <IsMainPartyType>true</IsMainPartyType>
        <CaseDisplayIdentifier>3944-05-20</CaseDisplayIdentifier>
        <CaseTypeID>14</CaseTypeID>
        <CaseTypeName>ועדת ערר (ו"ע)</CaseTypeName>
        <CaseName>אברגיל נ' מס שבח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2024-06-30T09:36:59.9351828+03:00</DecisionSignatureDate>
    <OpenCaseDate>2020-05-03T15:53:00+03:00</OpenCaseDate>
    <CaseFeeSum>0.000</CaseFeeSum>
    <DecisionTypeID>2</DecisionTypeID>
    <DecisionSignatureUserName>אביגדור דורות</DecisionSignatureUserName>
    <DecisionSignatureDateHebrew>2024-06-30T09:36:59.9351828+03:00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אברגיל נ' מס שבח ירושלים</CaseName>
    <DecisionNumberInCase>1</DecisionNumberInCase>
  </dt_Decision>
  <dt_DecisionCase>
    <DecisionID>0</DecisionID>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233681827</CasePartyID>
        <PartyTypeID>3</PartyTypeID>
        <ActivityStatusID>1</ActivityStatusID>
        <LegalEntityID>79441557</LegalEntityID>
        <CaseLegalEntityID>117559400</CaseLegalEntityID>
        <AssistantRoleID>112</AssistantRoleID>
        <AuthenticationTypeID>39</AuthenticationTypeID>
        <AuthenticationTypeName>חבר ועדה</AuthenticationTypeName>
        <LegalEntityNumber>273</LegalEntityNumber>
        <IsMainPartyType>true</IsMainPartyType>
        <CaseDisplayIdentifier>3944-05-20</CaseDisplayIdentifier>
        <CaseTypeID>14</CaseTypeID>
        <CaseTypeName>ועדת ערר (ו"ע)</CaseTypeName>
        <CaseName>אברגיל נ' מס שבח ירושלים</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אברהם הוכמן</FullName>
        <FirstName>אברהם</FirstName>
        <LastName>הוכמן</LastName>
        <PartyPropertyName/>
        <AuthenticationTypeAndNumber>ת"ז 063930853</AuthenticationTypeAndNumber>
        <RepresentatedOrRepresentativesNames/>
        <RepresentatedOrRepresentativesCount>0</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243396565</CasePartyID>
        <PartyTypeID>3</PartyTypeID>
        <ActivityStatusID>1</ActivityStatusID>
        <LegalEntityID>70081607</LegalEntityID>
        <CaseLegalEntityID>120486067</CaseLegalEntityID>
        <AssistantRoleID>112</AssistantRoleID>
        <AuthenticationTypeID>1</AuthenticationTypeID>
        <AuthenticationTypeName>ת"ז</AuthenticationTypeName>
        <LegalEntityNumber>063930853</LegalEntityNumber>
        <IsMainPartyType>true</IsMainPartyType>
        <CaseDisplayIdentifier>3944-05-20</CaseDisplayIdentifier>
        <CaseTypeID>14</CaseTypeID>
        <CaseTypeName>ועדת ערר (ו"ע)</CaseTypeName>
        <CaseName>אברגיל נ' מס שבח ירושלים</CaseName>
        <FullAddress>הארז 19 רעננה </FullAddress>
        <EmailAddress>avi_hochman@hotmail.com</EmailAddress>
        <MotionID>0</MotionID>
        <CasePleaID>0</CasePleaID>
        <FatherName>הרש</FatherName>
        <LinkedCaseID>0</LinkedCaseID>
        <PartyID>1</PartyID>
        <CasePartyCategoryID>2</CasePartyCategoryID>
        <LegalEntityAddressID>86729783</LegalEntityAddressID>
        <LegalEntityEmailAddressID>68194014</LegalEntityEmailAddressID>
        <PleaTypeID>18</PleaTypeID>
        <GroupPartyAlias/>
        <IsConverted>false</IsConverted>
        <LegalEntityRegisteredNameID>2467214</LegalEntityRegisteredNameID>
        <LegalEntityNameID>93383471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הוכמן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יגאל אברגיל</FullName>
        <FirstName>יגאל</FirstName>
        <LastName>אברגיל</LastName>
        <PartyPropertyName/>
        <AuthenticationTypeAndNumber>ת"ז 055858823</AuthenticationTypeAndNumber>
        <RepresentatedOrRepresentativesNames>רני שורץ</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210823001</CasePartyID>
        <PartyTypeID>1</PartyTypeID>
        <ActivityStatusID>1</ActivityStatusID>
        <PartyAliasID>16</PartyAliasID>
        <PartyAliasName>עורר</PartyAliasName>
        <OrdinalNumber>1</OrdinalNumber>
        <LegalEntityID>69517545</LegalEntityID>
        <CaseLegalEntityID>110738413</CaseLegalEntityID>
        <AuthenticationTypeID>1</AuthenticationTypeID>
        <AuthenticationTypeName>ת"ז</AuthenticationTypeName>
        <LegalEntityNumber>055858823</LegalEntityNumber>
        <IsMainPartyType>true</IsMainPartyType>
        <CaseDisplayIdentifier>3944-05-20</CaseDisplayIdentifier>
        <CaseTypeID>14</CaseTypeID>
        <CaseTypeName>ועדת ערר (ו"ע)</CaseTypeName>
        <CaseName>אברגיל נ' מס שבח ירושלים</CaseName>
        <FullAddress>הנמל 33 חיפה </FullAddress>
        <MotionID>0</MotionID>
        <CasePleaID>0</CasePleaID>
        <BirthDate>1959-07-20T00:00:00+03:00</BirthDate>
        <FatherName>מאיר    </FatherName>
        <LinkedCaseID>0</LinkedCaseID>
        <PartyID>1</PartyID>
        <CasePartyCategoryID>2</CasePartyCategoryID>
        <LegalEntityAddressID>83849084</LegalEntityAddressID>
        <PleaTypeID>18</PleaTypeID>
        <GroupPartyAlias>עוררים</GroupPartyAlias>
        <IsConverted>false</IsConverted>
        <LegalEntityRegisteredNameID>2138254</LegalEntityRegisteredNameID>
        <LegalEntityNameID>89532482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אברגיל</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רני שורץ</FullName>
        <FirstName>רני</FirstName>
        <LastName>שורץ</LastName>
        <PartyPropertyName/>
        <AuthenticationTypeAndNumber>מ.ר. 36264</AuthenticationTypeAndNumber>
        <RepresentatedOrRepresentativesNames>יגאל אברגיל</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210823002</CasePartyID>
        <PartyTypeID>2</PartyTypeID>
        <ActivityStatusID>1</ActivityStatusID>
        <PartyAliasID>35</PartyAliasID>
        <PartyAliasName>בא כוח עוררים</PartyAliasName>
        <OrdinalNumber>1</OrdinalNumber>
        <LegalEntityID>412829</LegalEntityID>
        <CaseLegalEntityID>110738414</CaseLegalEntityID>
        <AuthenticationTypeID>4</AuthenticationTypeID>
        <AuthenticationTypeName>מ.ר.</AuthenticationTypeName>
        <LegalEntityNumber>36264</LegalEntityNumber>
        <IsMainPartyType>true</IsMainPartyType>
        <CaseDisplayIdentifier>3944-05-20</CaseDisplayIdentifier>
        <CaseTypeID>14</CaseTypeID>
        <CaseTypeName>ועדת ערר (ו"ע)</CaseTypeName>
        <CaseName>אברגיל נ' מס שבח ירושלים</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18</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ירושלים</FullName>
        <LastName>מס שבח ירושלים</LastName>
        <PartyPropertyName/>
        <AuthenticationTypeAndNumber>גופים על פי דין 513436312</AuthenticationTypeAndNumber>
        <RepresentatedOrRepresentativesNames>קרן יוסט</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210823003</CasePartyID>
        <PartyTypeID>1</PartyTypeID>
        <ActivityStatusID>1</ActivityStatusID>
        <PartyAliasID>4</PartyAliasID>
        <PartyAliasName>משיב</PartyAliasName>
        <OrdinalNumber>1</OrdinalNumber>
        <LegalEntityID>15868161</LegalEntityID>
        <CaseLegalEntityID>110738415</CaseLegalEntityID>
        <AuthenticationTypeID>17</AuthenticationTypeID>
        <AuthenticationTypeName>גופים על פי דין</AuthenticationTypeName>
        <LegalEntityNumber>513436312</LegalEntityNumber>
        <IsMainPartyType>true</IsMainPartyType>
        <CaseDisplayIdentifier>3944-05-20</CaseDisplayIdentifier>
        <CaseTypeID>14</CaseTypeID>
        <CaseTypeName>ועדת ערר (ו"ע)</CaseTypeName>
        <CaseName>אברגיל נ' מס שבח ירושלים</CaseName>
        <FullAddress>כנפי נשרים 66 ירושלים סניף גבעת שאול</FullAddress>
        <MotionID>0</MotionID>
        <CasePleaID>0</CasePleaID>
        <LinkedCaseID>0</LinkedCaseID>
        <PartyID>2</PartyID>
        <CasePartyCategoryID>2</CasePartyCategoryID>
        <LegalEntityAddressID>16132217</LegalEntityAddressID>
        <PleaTypeID>18</PleaTypeID>
        <GroupPartyAlias>משיבים</GroupPartyAlias>
        <IsConverted>false</IsConverted>
        <LegalEntityRegisteredNameID>1722105</LegalEntityRegisteredNameID>
        <RepresentatedNamesOfAssistant/>
        <LegalEntityTypeID>3</LegalEntityTypeID>
        <IsVerdictExists>false</IsVerdictExists>
        <IsAsirAzir>false</IsAsirAzir>
        <IsPublicationProhibited>false</IsPublicationProhibited>
        <PublicationProhibitedFullName>מס שבח ירושלים</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77364685</CaseID>
        <CaseJudicialPersonPresentationDS>
          <CaseJudicalPersonActive>
            <CaseID>77364685</CaseID>
            <JudicialPersonID>055121115@GOV.IL</JudicialPersonID>
            <JudicialPersonTypeID>1</JudicialPersonTypeID>
            <JudicialTypeID>1</JudicialTypeID>
            <IsChairman>false</IsChairman>
            <TreatmentStartDate>2020-05-06T14:00:50.18+03:00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260961719</CasePartyID>
        <PartyTypeID>2</PartyTypeID>
        <ActivityStatusID>1</ActivityStatusID>
        <PartyAliasID>23</PartyAliasID>
        <PartyAliasName>בא כוח משיבים</PartyAliasName>
        <OrdinalNumber>1</OrdinalNumber>
        <LegalEntityID>401563</LegalEntityID>
        <CaseLegalEntityID>126068280</CaseLegalEntityID>
        <AuthenticationTypeID>4</AuthenticationTypeID>
        <AuthenticationTypeName>מ.ר.</AuthenticationTypeName>
        <LegalEntityNumber>23388</LegalEntityNumber>
        <IsMainPartyType>true</IsMainPartyType>
        <CaseDisplayIdentifier>3944-05-20</CaseDisplayIdentifier>
        <CaseTypeID>14</CaseTypeID>
        <CaseTypeName>ועדת ערר (ו"ע)</CaseTypeName>
        <CaseName>אברגיל נ' מס שבח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SelectionDS>
    <CaseName>אברגיל נ' מס שבח ירושלים</CaseName>
    <CaseDisplayIdentifier>3944-05-20</CaseDisplayIdentifier>
    <CaseInterestID>28</CaseInterestID>
    <CaseTypeShortName>ו"ע</CaseTypeShortName>
  </dt_DecisionCase>
  <dt_DecisionCase>
    <DecisionID>0</DecisionID>
    <CaseID>77595019</CaseID>
    <CaseJudicialPersonPresentationDS/>
    <CasePartiesSelectionDS/>
    <CaseName>אברגיל נ' מס שבח ירושלים</CaseName>
    <CaseDisplayIdentifier>61186-07-20</CaseDisplayIdentifier>
    <CaseInterestID>28</CaseInterestID>
    <CaseTypeShortName>ו"ע</CaseTypeShortName>
  </dt_DecisionCase>
  <dt_DecisionJudgePanel>
    <JudgeID>055121115@GOV.IL</JudgeID>
    <DisplayName>אביגדור דורות</DisplayName>
    <RoleName>שופט</RoleName>
    <UserTitleName>שופט</UserTitleName>
  </dt_DecisionJudgePanel>
  <dt_LegalEntityDetails>
    <Fax/>
    <Phone/>
    <AddressDesc/>
    <PartyID>1</PartyID>
    <PartyTypeID>3</PartyTypeID>
    <DecisionID>0</DecisionID>
    <AssistantRoleID>112</AssistantRoleID>
    <StreetName>.</StreetName>
    <CityName>תל אביב -יפו</CityName>
    <FullName>גבע בלטר</FullName>
    <Email>geva@gbalter.com</Email>
    <IsPublicationProhibited>false</IsPublicationProhibited>
  </dt_LegalEntityDetails>
  <dt_LegalEntityDetails>
    <Fax>09-7400444</Fax>
    <Phone>09-7446777</Phone>
    <AddressDesc/>
    <PartyID>1</PartyID>
    <PartyTypeID>3</PartyTypeID>
    <DecisionID>0</DecisionID>
    <AssistantRoleID>112</AssistantRoleID>
    <StreetName>הארז 19</StreetName>
    <CityName>רעננה</CityName>
    <FullName>אברהם הוכמן</FullName>
    <Email>avi_hochman@hotmail.com</Email>
    <IsPublicationProhibited>false</IsPublicationProhibited>
  </dt_LegalEntityDetails>
  <dt_LegalEntityDetails>
    <PartyID>1</PartyID>
    <PartyTypeID>1</PartyTypeID>
    <DecisionID>0</DecisionID>
    <StreetName>הנמל 33</StreetName>
    <CityName>חיפה</CityName>
    <FullName>יגאל אברגיל</FullName>
    <IsPublicationProhibited>false</IsPublicationProhibited>
  </dt_LegalEntityDetails>
  <dt_LegalEntityDetails>
    <Fax>074-7339223</Fax>
    <Phone>074-7339222</Phone>
    <AddressDesc>מגדל השחר, קומה 13</AddressDesc>
    <PartyID>1</PartyID>
    <PartyTypeID>2</PartyTypeID>
    <DecisionID>0</DecisionID>
    <StreetName>אריאל שרון 4</StreetName>
    <ZipCode>5320045</ZipCode>
    <CityName>גבעתיים</CityName>
    <FullName>רני שורץ</FullName>
    <Email>office@yetax.co.il</Email>
    <IsPublicationProhibited>false</IsPublicationProhibited>
  </dt_LegalEntityDetails>
  <dt_LegalEntityDetails>
    <AddressDesc>סניף גבעת שאול</AddressDesc>
    <PartyID>2</PartyID>
    <PartyTypeID>1</PartyTypeID>
    <DecisionID>0</DecisionID>
    <StreetName>כנפי נשרים 66</StreetName>
    <CityName>ירושלים</CityName>
    <FullName> מס שבח ירושלים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שופט אביגדור דורות</CaseJudicalPerson>
  </dt_CaseJudicalPersonActive>
  <dt_Sitting>
    <PreviousMeetingDate>2022-07-18T11:30:00+03:00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86EDAD0B-AC18-4798-B511-AE0C031E21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4308</Words>
  <Characters>21542</Characters>
  <Application>Microsoft Office Word</Application>
  <DocSecurity>4</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שני קמחי נידם</cp:lastModifiedBy>
  <cp:revision>2</cp:revision>
  <dcterms:created xsi:type="dcterms:W3CDTF">2024-07-09T06:18:00Z</dcterms:created>
  <dcterms:modified xsi:type="dcterms:W3CDTF">2024-07-09T06:18:00Z</dcterms:modified>
</cp:coreProperties>
</file>